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hint="eastAsia" w:ascii="宋体" w:hAnsi="宋体" w:eastAsia="宋体" w:cs="宋体"/>
          <w:kern w:val="0"/>
          <w:sz w:val="24"/>
          <w:szCs w:val="24"/>
          <w:lang w:val="en-US" w:eastAsia="zh-CN" w:bidi="ar"/>
        </w:rPr>
        <w:t xml:space="preserve">  </w:t>
      </w:r>
    </w:p>
    <w:p>
      <w:pPr>
        <w:keepNext w:val="0"/>
        <w:keepLines w:val="0"/>
        <w:widowControl/>
        <w:suppressLineNumbers w:val="0"/>
        <w:shd w:val="clear" w:fill="FFFFFF"/>
        <w:spacing w:beforeAutospacing="1" w:afterAutospacing="1" w:line="600" w:lineRule="atLeast"/>
        <w:ind w:left="0" w:right="0"/>
        <w:jc w:val="center"/>
      </w:pPr>
      <w:r>
        <w:rPr>
          <w:rFonts w:asciiTheme="minorHAnsi" w:hAnsiTheme="minorHAnsi" w:eastAsiaTheme="minorEastAsia" w:cstheme="minorBidi"/>
          <w:kern w:val="0"/>
          <w:sz w:val="24"/>
          <w:szCs w:val="24"/>
          <w:shd w:val="clear" w:fill="FFFFFF"/>
          <w:lang w:val="en-US" w:eastAsia="zh-CN" w:bidi="ar"/>
        </w:rPr>
        <w:t> </w:t>
      </w:r>
    </w:p>
    <w:p>
      <w:pPr>
        <w:keepNext w:val="0"/>
        <w:keepLines w:val="0"/>
        <w:widowControl/>
        <w:numPr>
          <w:numId w:val="0"/>
        </w:numPr>
        <w:suppressLineNumbers w:val="0"/>
        <w:shd w:val="clear" w:fill="FFFFFF"/>
        <w:spacing w:beforeAutospacing="1" w:afterAutospacing="1" w:line="600" w:lineRule="atLeast"/>
        <w:ind w:left="0" w:right="0" w:firstLine="480"/>
        <w:jc w:val="left"/>
      </w:pPr>
      <w:r>
        <w:rPr>
          <w:rFonts w:hint="eastAsia" w:ascii="宋体" w:hAnsi="宋体" w:eastAsia="宋体" w:cs="宋体"/>
          <w:color w:val="555555"/>
          <w:kern w:val="0"/>
          <w:sz w:val="32"/>
          <w:szCs w:val="32"/>
          <w:shd w:val="clear" w:fill="FFFFFF"/>
          <w:lang w:val="en-US" w:eastAsia="zh-CN" w:bidi="ar"/>
        </w:rPr>
        <w:t>一、总体情况</w:t>
      </w:r>
    </w:p>
    <w:p>
      <w:pPr>
        <w:keepNext w:val="0"/>
        <w:keepLines w:val="0"/>
        <w:widowControl/>
        <w:suppressLineNumbers w:val="0"/>
        <w:shd w:val="clear" w:fill="FFFFFF"/>
        <w:spacing w:beforeAutospacing="1" w:afterAutospacing="1" w:line="600" w:lineRule="atLeast"/>
        <w:ind w:left="0" w:right="0" w:firstLine="560"/>
        <w:jc w:val="left"/>
      </w:pPr>
      <w:r>
        <w:rPr>
          <w:rFonts w:hint="eastAsia" w:ascii="宋体" w:hAnsi="宋体" w:eastAsia="宋体" w:cs="宋体"/>
          <w:color w:val="555555"/>
          <w:kern w:val="0"/>
          <w:sz w:val="32"/>
          <w:szCs w:val="32"/>
          <w:shd w:val="clear" w:fill="FFFFFF"/>
          <w:lang w:val="en-US" w:eastAsia="zh-CN" w:bidi="ar"/>
        </w:rPr>
        <w:t>一年来，我局政府信息公开工作坚持以习近平新时代中国特色社会主义思想为指导，贯彻《中华人民共和国政府信息公开条例》，落实县委、县政府有关信息公开工作的具体要求，立足水利工作职能，通过中国武平网站、微信公众号、局信息公开栏等不同方式，共发布63条政务信息</w:t>
      </w:r>
      <w:r>
        <w:rPr>
          <w:rFonts w:hint="eastAsia" w:ascii="宋体" w:hAnsi="宋体" w:eastAsia="宋体" w:cs="宋体"/>
          <w:color w:val="555555"/>
          <w:kern w:val="0"/>
          <w:sz w:val="32"/>
          <w:szCs w:val="32"/>
          <w:shd w:val="clear" w:fill="FFFFFF"/>
          <w:lang w:val="en-US" w:eastAsia="zh-CN" w:bidi="ar"/>
        </w:rPr>
        <w:t>。</w:t>
      </w:r>
    </w:p>
    <w:p>
      <w:pPr>
        <w:keepNext w:val="0"/>
        <w:keepLines w:val="0"/>
        <w:widowControl/>
        <w:suppressLineNumbers w:val="0"/>
        <w:shd w:val="clear" w:fill="FFFFFF"/>
        <w:spacing w:beforeAutospacing="1" w:afterAutospacing="1" w:line="600" w:lineRule="atLeast"/>
        <w:ind w:left="0" w:right="0" w:firstLine="640" w:firstLineChars="200"/>
        <w:jc w:val="left"/>
      </w:pPr>
      <w:r>
        <w:rPr>
          <w:rFonts w:hint="eastAsia" w:ascii="宋体" w:hAnsi="宋体" w:eastAsia="宋体" w:cs="宋体"/>
          <w:color w:val="555555"/>
          <w:kern w:val="0"/>
          <w:sz w:val="32"/>
          <w:szCs w:val="32"/>
          <w:shd w:val="clear" w:fill="FFFFFF"/>
          <w:lang w:val="en-US" w:eastAsia="zh-CN" w:bidi="ar"/>
        </w:rPr>
        <w:t>1、政务公开要点落实情况</w:t>
      </w:r>
    </w:p>
    <w:p>
      <w:pPr>
        <w:pStyle w:val="2"/>
        <w:keepNext w:val="0"/>
        <w:keepLines w:val="0"/>
        <w:widowControl/>
        <w:suppressLineNumbers w:val="0"/>
        <w:shd w:val="clear" w:fill="FFFFFF"/>
        <w:spacing w:before="0" w:beforeAutospacing="0" w:after="0" w:afterAutospacing="0" w:line="600" w:lineRule="atLeast"/>
        <w:rPr>
          <w:rFonts w:hint="eastAsia" w:ascii="宋体" w:hAnsi="宋体" w:eastAsia="宋体" w:cs="宋体"/>
          <w:sz w:val="24"/>
          <w:szCs w:val="24"/>
        </w:rPr>
      </w:pPr>
      <w:r>
        <w:rPr>
          <w:rFonts w:hint="eastAsia" w:ascii="宋体" w:hAnsi="宋体" w:eastAsia="宋体" w:cs="宋体"/>
          <w:color w:val="555555"/>
          <w:sz w:val="32"/>
          <w:szCs w:val="32"/>
          <w:shd w:val="clear" w:fill="FFFFFF"/>
          <w:lang w:val="en-US"/>
        </w:rPr>
        <w:t>  2020</w:t>
      </w:r>
      <w:r>
        <w:rPr>
          <w:rFonts w:hint="eastAsia" w:ascii="宋体" w:hAnsi="宋体" w:eastAsia="宋体" w:cs="宋体"/>
          <w:color w:val="555555"/>
          <w:sz w:val="32"/>
          <w:szCs w:val="32"/>
          <w:shd w:val="clear" w:fill="FFFFFF"/>
        </w:rPr>
        <w:t>年我局按照政务公开要点，积极推进</w:t>
      </w:r>
      <w:r>
        <w:rPr>
          <w:rFonts w:hint="eastAsia" w:ascii="宋体" w:hAnsi="宋体" w:eastAsia="宋体" w:cs="宋体"/>
          <w:color w:val="555555"/>
          <w:sz w:val="32"/>
          <w:szCs w:val="32"/>
          <w:shd w:val="clear" w:fill="FFFFFF"/>
          <w:lang w:bidi="ar"/>
        </w:rPr>
        <w:t>规章制度、扶贫资金、水利监督、水利工程、安全生产、环保攻坚、移民政策等</w:t>
      </w:r>
      <w:r>
        <w:rPr>
          <w:rFonts w:hint="eastAsia" w:ascii="宋体" w:hAnsi="宋体" w:eastAsia="宋体" w:cs="宋体"/>
          <w:color w:val="555555"/>
          <w:sz w:val="32"/>
          <w:szCs w:val="32"/>
          <w:shd w:val="clear" w:fill="FFFFFF"/>
        </w:rPr>
        <w:t>信息公开，做到应公开尽公开。</w:t>
      </w:r>
    </w:p>
    <w:p>
      <w:pPr>
        <w:keepNext w:val="0"/>
        <w:keepLines w:val="0"/>
        <w:widowControl/>
        <w:suppressLineNumbers w:val="0"/>
        <w:shd w:val="clear" w:fill="FFFFFF"/>
        <w:spacing w:beforeAutospacing="1" w:afterAutospacing="1" w:line="600" w:lineRule="atLeast"/>
        <w:ind w:left="0" w:right="0" w:firstLine="560"/>
        <w:jc w:val="left"/>
      </w:pPr>
      <w:r>
        <w:rPr>
          <w:rFonts w:hint="eastAsia" w:ascii="宋体" w:hAnsi="宋体" w:eastAsia="宋体" w:cs="宋体"/>
          <w:color w:val="555555"/>
          <w:kern w:val="0"/>
          <w:sz w:val="32"/>
          <w:szCs w:val="32"/>
          <w:shd w:val="clear" w:fill="FFFFFF"/>
          <w:lang w:val="en-US" w:eastAsia="zh-CN" w:bidi="ar"/>
        </w:rPr>
        <w:t>2、主动公开情况</w:t>
      </w:r>
    </w:p>
    <w:p>
      <w:pPr>
        <w:keepNext w:val="0"/>
        <w:keepLines w:val="0"/>
        <w:widowControl/>
        <w:suppressLineNumbers w:val="0"/>
        <w:shd w:val="clear" w:fill="FFFFFF"/>
        <w:spacing w:beforeAutospacing="1" w:afterAutospacing="1" w:line="600" w:lineRule="atLeast"/>
        <w:ind w:left="0" w:right="0" w:firstLine="560"/>
        <w:jc w:val="left"/>
      </w:pPr>
      <w:r>
        <w:rPr>
          <w:rFonts w:hint="eastAsia" w:ascii="宋体" w:hAnsi="宋体" w:eastAsia="宋体" w:cs="宋体"/>
          <w:color w:val="555555"/>
          <w:kern w:val="0"/>
          <w:sz w:val="32"/>
          <w:szCs w:val="32"/>
          <w:shd w:val="clear" w:fill="FFFFFF"/>
          <w:lang w:val="en-US" w:eastAsia="zh-CN" w:bidi="ar"/>
        </w:rPr>
        <w:t>2020年度政府网站主动公开信息数量35条，历年累计公开数量335条。主动公开政府信息的主要类别为：机构职能、领导分工、水行政许可、水利安全生产、防汛抗旱、三公经费、部门预算、行政审批及水利工作动态及其他应当公开的事项，武平县河长制专栏。在局信息公开栏公示信息30条，主要为干部人事、绩效奖金发放等信息。在福建省扶贫资金管理系统公示了中央财政移民直补、防汛救灾和农村饮水安全巩固提升等资金使用情况。</w:t>
      </w:r>
    </w:p>
    <w:p>
      <w:pPr>
        <w:keepNext w:val="0"/>
        <w:keepLines w:val="0"/>
        <w:widowControl/>
        <w:suppressLineNumbers w:val="0"/>
        <w:shd w:val="clear" w:fill="FFFFFF"/>
        <w:spacing w:beforeAutospacing="1" w:afterAutospacing="1" w:line="600" w:lineRule="atLeast"/>
        <w:ind w:left="0" w:right="0"/>
        <w:jc w:val="left"/>
      </w:pPr>
      <w:r>
        <w:rPr>
          <w:rFonts w:hint="eastAsia" w:ascii="宋体" w:hAnsi="宋体" w:eastAsia="宋体" w:cs="宋体"/>
          <w:color w:val="555555"/>
          <w:kern w:val="0"/>
          <w:sz w:val="32"/>
          <w:szCs w:val="32"/>
          <w:shd w:val="clear" w:fill="FFFFFF"/>
          <w:lang w:val="en-US" w:eastAsia="zh-CN" w:bidi="ar"/>
        </w:rPr>
        <w:t>  3、依申请公开情况</w:t>
      </w:r>
    </w:p>
    <w:p>
      <w:pPr>
        <w:keepNext w:val="0"/>
        <w:keepLines w:val="0"/>
        <w:widowControl/>
        <w:suppressLineNumbers w:val="0"/>
        <w:shd w:val="clear" w:fill="FFFFFF"/>
        <w:spacing w:beforeAutospacing="1" w:afterAutospacing="1" w:line="600" w:lineRule="atLeast"/>
        <w:ind w:left="0" w:right="0" w:firstLine="640" w:firstLineChars="200"/>
        <w:jc w:val="left"/>
      </w:pPr>
      <w:r>
        <w:rPr>
          <w:rFonts w:hint="eastAsia" w:ascii="宋体" w:hAnsi="宋体" w:eastAsia="宋体" w:cs="宋体"/>
          <w:color w:val="555555"/>
          <w:kern w:val="0"/>
          <w:sz w:val="32"/>
          <w:szCs w:val="32"/>
          <w:shd w:val="clear" w:fill="FFFFFF"/>
          <w:lang w:val="en-US" w:eastAsia="zh-CN" w:bidi="ar"/>
        </w:rPr>
        <w:t>无依申请公开情况</w:t>
      </w:r>
    </w:p>
    <w:p>
      <w:pPr>
        <w:keepNext w:val="0"/>
        <w:keepLines w:val="0"/>
        <w:widowControl/>
        <w:suppressLineNumbers w:val="0"/>
        <w:shd w:val="clear" w:fill="FFFFFF"/>
        <w:spacing w:beforeAutospacing="1" w:afterAutospacing="1" w:line="600" w:lineRule="atLeast"/>
        <w:ind w:left="0" w:right="0" w:firstLine="420"/>
        <w:jc w:val="left"/>
      </w:pPr>
      <w:r>
        <w:rPr>
          <w:rFonts w:hint="eastAsia" w:ascii="宋体" w:hAnsi="宋体" w:eastAsia="宋体" w:cs="宋体"/>
          <w:color w:val="555555"/>
          <w:kern w:val="0"/>
          <w:sz w:val="32"/>
          <w:szCs w:val="32"/>
          <w:shd w:val="clear" w:fill="FFFFFF"/>
          <w:lang w:val="en-US" w:eastAsia="zh-CN" w:bidi="ar"/>
        </w:rPr>
        <w:t>4、政府信息管理情况：</w:t>
      </w:r>
    </w:p>
    <w:p>
      <w:pPr>
        <w:keepNext w:val="0"/>
        <w:keepLines w:val="0"/>
        <w:widowControl/>
        <w:suppressLineNumbers w:val="0"/>
        <w:shd w:val="clear" w:fill="FFFFFF"/>
        <w:spacing w:beforeAutospacing="1" w:afterAutospacing="1" w:line="600" w:lineRule="atLeast"/>
        <w:ind w:left="0" w:right="0" w:firstLine="560"/>
        <w:jc w:val="left"/>
      </w:pPr>
      <w:r>
        <w:rPr>
          <w:rFonts w:hint="eastAsia" w:ascii="宋体" w:hAnsi="宋体" w:eastAsia="宋体" w:cs="宋体"/>
          <w:color w:val="555555"/>
          <w:kern w:val="0"/>
          <w:sz w:val="32"/>
          <w:szCs w:val="32"/>
          <w:shd w:val="clear" w:fill="FFFFFF"/>
          <w:lang w:val="en-US" w:eastAsia="zh-CN" w:bidi="ar"/>
        </w:rPr>
        <w:t>制定了政府信息公开指南、政务公开目录及政府信息公开保密审查管理制度，坚持遵循“谁提供、谁审核、谁负责”的原则，严格按程序对所有公开的政务信息进行保密审核，确保公开信息安全，杜绝泄密责任事故发生。</w:t>
      </w:r>
    </w:p>
    <w:p>
      <w:pPr>
        <w:keepNext w:val="0"/>
        <w:keepLines w:val="0"/>
        <w:widowControl/>
        <w:suppressLineNumbers w:val="0"/>
        <w:shd w:val="clear" w:fill="FFFFFF"/>
        <w:spacing w:beforeAutospacing="1" w:afterAutospacing="1" w:line="600" w:lineRule="atLeast"/>
        <w:ind w:left="0" w:right="0" w:firstLine="420"/>
        <w:jc w:val="left"/>
      </w:pPr>
      <w:r>
        <w:rPr>
          <w:rFonts w:hint="eastAsia" w:ascii="宋体" w:hAnsi="宋体" w:eastAsia="宋体" w:cs="宋体"/>
          <w:color w:val="555555"/>
          <w:kern w:val="0"/>
          <w:sz w:val="32"/>
          <w:szCs w:val="32"/>
          <w:shd w:val="clear" w:fill="FFFFFF"/>
          <w:lang w:val="en-US" w:eastAsia="zh-CN" w:bidi="ar"/>
        </w:rPr>
        <w:t>5、平台建设情况</w:t>
      </w:r>
    </w:p>
    <w:p>
      <w:pPr>
        <w:keepNext w:val="0"/>
        <w:keepLines w:val="0"/>
        <w:widowControl/>
        <w:suppressLineNumbers w:val="0"/>
        <w:shd w:val="clear" w:fill="FFFFFF"/>
        <w:spacing w:beforeAutospacing="1" w:afterAutospacing="1" w:line="600" w:lineRule="atLeast"/>
        <w:ind w:left="0" w:right="0" w:firstLine="560"/>
        <w:jc w:val="left"/>
      </w:pPr>
      <w:r>
        <w:rPr>
          <w:rFonts w:hint="eastAsia" w:ascii="宋体" w:hAnsi="宋体" w:eastAsia="宋体" w:cs="宋体"/>
          <w:color w:val="555555"/>
          <w:kern w:val="0"/>
          <w:sz w:val="32"/>
          <w:szCs w:val="32"/>
          <w:shd w:val="clear" w:fill="FFFFFF"/>
          <w:lang w:val="en-US" w:eastAsia="zh-CN" w:bidi="ar"/>
        </w:rPr>
        <w:t>我局信息公开主要通过中国武平网、微信公众号、局信息公开栏等不同方式进行公开。</w:t>
      </w:r>
    </w:p>
    <w:p>
      <w:pPr>
        <w:keepNext w:val="0"/>
        <w:keepLines w:val="0"/>
        <w:widowControl/>
        <w:suppressLineNumbers w:val="0"/>
        <w:shd w:val="clear" w:fill="FFFFFF"/>
        <w:spacing w:beforeAutospacing="1" w:afterAutospacing="1" w:line="600" w:lineRule="atLeast"/>
        <w:ind w:left="0" w:right="0" w:firstLine="420"/>
        <w:jc w:val="left"/>
      </w:pPr>
      <w:r>
        <w:rPr>
          <w:rFonts w:hint="eastAsia" w:ascii="宋体" w:hAnsi="宋体" w:eastAsia="宋体" w:cs="宋体"/>
          <w:color w:val="555555"/>
          <w:kern w:val="0"/>
          <w:sz w:val="32"/>
          <w:szCs w:val="32"/>
          <w:shd w:val="clear" w:fill="FFFFFF"/>
          <w:lang w:val="en-US" w:eastAsia="zh-CN" w:bidi="ar"/>
        </w:rPr>
        <w:t>6、监督保障情况</w:t>
      </w:r>
    </w:p>
    <w:p>
      <w:pPr>
        <w:keepNext w:val="0"/>
        <w:keepLines w:val="0"/>
        <w:widowControl/>
        <w:suppressLineNumbers w:val="0"/>
        <w:shd w:val="clear" w:fill="FFFFFF"/>
        <w:spacing w:beforeAutospacing="1" w:afterAutospacing="1" w:line="600" w:lineRule="atLeast"/>
        <w:ind w:left="0" w:right="0" w:firstLine="420"/>
        <w:jc w:val="left"/>
      </w:pPr>
      <w:r>
        <w:rPr>
          <w:rFonts w:hint="eastAsia" w:ascii="宋体" w:hAnsi="宋体" w:eastAsia="宋体" w:cs="宋体"/>
          <w:color w:val="555555"/>
          <w:kern w:val="0"/>
          <w:sz w:val="32"/>
          <w:szCs w:val="32"/>
          <w:shd w:val="clear" w:fill="FFFFFF"/>
          <w:lang w:val="en-US" w:eastAsia="zh-CN" w:bidi="ar"/>
        </w:rPr>
        <w:t>我局成立了政府信息公开工作领导小组，由综合股负责全局的政府信息公开工作，指定专人负责信息的更新，主要职责包括具体承办信息公开事项、维护和更新政府信息、进行保密审查等。</w:t>
      </w:r>
    </w:p>
    <w:p>
      <w:pPr>
        <w:keepNext w:val="0"/>
        <w:keepLines w:val="0"/>
        <w:widowControl/>
        <w:suppressLineNumbers w:val="0"/>
        <w:shd w:val="clear" w:fill="FFFFFF"/>
        <w:spacing w:beforeAutospacing="1" w:afterAutospacing="1" w:line="600" w:lineRule="atLeast"/>
        <w:ind w:left="0" w:right="0"/>
        <w:jc w:val="left"/>
      </w:pPr>
      <w:r>
        <w:rPr>
          <w:rFonts w:hint="eastAsia" w:ascii="宋体" w:hAnsi="宋体" w:eastAsia="宋体" w:cs="宋体"/>
          <w:color w:val="555555"/>
          <w:kern w:val="0"/>
          <w:sz w:val="32"/>
          <w:szCs w:val="32"/>
          <w:shd w:val="clear" w:fill="FFFFFF"/>
          <w:lang w:val="en-US" w:eastAsia="zh-CN" w:bidi="ar"/>
        </w:rPr>
        <w:t>二、主动公开政府信息情况</w:t>
      </w:r>
    </w:p>
    <w:tbl>
      <w:tblPr>
        <w:tblW w:w="14835" w:type="dxa"/>
        <w:jc w:val="center"/>
        <w:shd w:val="clear"/>
        <w:tblLayout w:type="autofit"/>
        <w:tblCellMar>
          <w:top w:w="0" w:type="dxa"/>
          <w:left w:w="0" w:type="dxa"/>
          <w:bottom w:w="0" w:type="dxa"/>
          <w:right w:w="0" w:type="dxa"/>
        </w:tblCellMar>
      </w:tblPr>
      <w:tblGrid>
        <w:gridCol w:w="4768"/>
        <w:gridCol w:w="3523"/>
        <w:gridCol w:w="2914"/>
        <w:gridCol w:w="3630"/>
      </w:tblGrid>
      <w:tr>
        <w:tblPrEx>
          <w:shd w:val="clear"/>
          <w:tblCellMar>
            <w:top w:w="0" w:type="dxa"/>
            <w:left w:w="0" w:type="dxa"/>
            <w:bottom w:w="0" w:type="dxa"/>
            <w:right w:w="0" w:type="dxa"/>
          </w:tblCellMar>
        </w:tblPrEx>
        <w:trPr>
          <w:jc w:val="center"/>
        </w:trPr>
        <w:tc>
          <w:tcPr>
            <w:tcW w:w="8400" w:type="dxa"/>
            <w:gridSpan w:val="4"/>
            <w:tcBorders>
              <w:top w:val="outset" w:color="000000" w:sz="8" w:space="0"/>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第二十条第（一）项（县级及其以下单位没有规章）</w:t>
            </w:r>
          </w:p>
        </w:tc>
      </w:tr>
      <w:tr>
        <w:tblPrEx>
          <w:tblCellMar>
            <w:top w:w="0" w:type="dxa"/>
            <w:left w:w="0" w:type="dxa"/>
            <w:bottom w:w="0" w:type="dxa"/>
            <w:right w:w="0" w:type="dxa"/>
          </w:tblCellMar>
        </w:tblPrEx>
        <w:trPr>
          <w:jc w:val="center"/>
        </w:trPr>
        <w:tc>
          <w:tcPr>
            <w:tcW w:w="2700"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信息内容</w:t>
            </w:r>
          </w:p>
        </w:tc>
        <w:tc>
          <w:tcPr>
            <w:tcW w:w="199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本年新</w:t>
            </w:r>
          </w:p>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制作数量</w:t>
            </w:r>
          </w:p>
        </w:tc>
        <w:tc>
          <w:tcPr>
            <w:tcW w:w="16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本年新</w:t>
            </w:r>
          </w:p>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公开数量</w:t>
            </w:r>
          </w:p>
        </w:tc>
        <w:tc>
          <w:tcPr>
            <w:tcW w:w="202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对外公开总数量</w:t>
            </w:r>
          </w:p>
        </w:tc>
      </w:tr>
      <w:tr>
        <w:tblPrEx>
          <w:tblCellMar>
            <w:top w:w="0" w:type="dxa"/>
            <w:left w:w="0" w:type="dxa"/>
            <w:bottom w:w="0" w:type="dxa"/>
            <w:right w:w="0" w:type="dxa"/>
          </w:tblCellMar>
        </w:tblPrEx>
        <w:trPr>
          <w:jc w:val="center"/>
        </w:trPr>
        <w:tc>
          <w:tcPr>
            <w:tcW w:w="2700"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规章</w:t>
            </w:r>
          </w:p>
        </w:tc>
        <w:tc>
          <w:tcPr>
            <w:tcW w:w="199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0</w:t>
            </w:r>
          </w:p>
        </w:tc>
        <w:tc>
          <w:tcPr>
            <w:tcW w:w="16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0</w:t>
            </w:r>
          </w:p>
        </w:tc>
        <w:tc>
          <w:tcPr>
            <w:tcW w:w="202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2700"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规范性文件</w:t>
            </w:r>
          </w:p>
        </w:tc>
        <w:tc>
          <w:tcPr>
            <w:tcW w:w="199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1</w:t>
            </w:r>
          </w:p>
        </w:tc>
        <w:tc>
          <w:tcPr>
            <w:tcW w:w="16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1</w:t>
            </w:r>
          </w:p>
        </w:tc>
        <w:tc>
          <w:tcPr>
            <w:tcW w:w="202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1</w:t>
            </w:r>
          </w:p>
        </w:tc>
      </w:tr>
      <w:tr>
        <w:tblPrEx>
          <w:tblCellMar>
            <w:top w:w="0" w:type="dxa"/>
            <w:left w:w="0" w:type="dxa"/>
            <w:bottom w:w="0" w:type="dxa"/>
            <w:right w:w="0" w:type="dxa"/>
          </w:tblCellMar>
        </w:tblPrEx>
        <w:trPr>
          <w:jc w:val="center"/>
        </w:trPr>
        <w:tc>
          <w:tcPr>
            <w:tcW w:w="8400" w:type="dxa"/>
            <w:gridSpan w:val="4"/>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第二十条第（五）项</w:t>
            </w:r>
          </w:p>
        </w:tc>
      </w:tr>
      <w:tr>
        <w:tblPrEx>
          <w:tblCellMar>
            <w:top w:w="0" w:type="dxa"/>
            <w:left w:w="0" w:type="dxa"/>
            <w:bottom w:w="0" w:type="dxa"/>
            <w:right w:w="0" w:type="dxa"/>
          </w:tblCellMar>
        </w:tblPrEx>
        <w:trPr>
          <w:jc w:val="center"/>
        </w:trPr>
        <w:tc>
          <w:tcPr>
            <w:tcW w:w="2700"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信息内容</w:t>
            </w:r>
          </w:p>
        </w:tc>
        <w:tc>
          <w:tcPr>
            <w:tcW w:w="199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上一年项目数量</w:t>
            </w:r>
          </w:p>
        </w:tc>
        <w:tc>
          <w:tcPr>
            <w:tcW w:w="16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本年增/减</w:t>
            </w:r>
          </w:p>
        </w:tc>
        <w:tc>
          <w:tcPr>
            <w:tcW w:w="202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处理决定数量</w:t>
            </w:r>
          </w:p>
        </w:tc>
      </w:tr>
      <w:tr>
        <w:tblPrEx>
          <w:tblCellMar>
            <w:top w:w="0" w:type="dxa"/>
            <w:left w:w="0" w:type="dxa"/>
            <w:bottom w:w="0" w:type="dxa"/>
            <w:right w:w="0" w:type="dxa"/>
          </w:tblCellMar>
        </w:tblPrEx>
        <w:trPr>
          <w:jc w:val="center"/>
        </w:trPr>
        <w:tc>
          <w:tcPr>
            <w:tcW w:w="2700"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行政许可</w:t>
            </w:r>
          </w:p>
        </w:tc>
        <w:tc>
          <w:tcPr>
            <w:tcW w:w="199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19</w:t>
            </w:r>
          </w:p>
        </w:tc>
        <w:tc>
          <w:tcPr>
            <w:tcW w:w="1650"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0</w:t>
            </w:r>
          </w:p>
        </w:tc>
        <w:tc>
          <w:tcPr>
            <w:tcW w:w="202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75</w:t>
            </w:r>
          </w:p>
        </w:tc>
      </w:tr>
      <w:tr>
        <w:tblPrEx>
          <w:tblCellMar>
            <w:top w:w="0" w:type="dxa"/>
            <w:left w:w="0" w:type="dxa"/>
            <w:bottom w:w="0" w:type="dxa"/>
            <w:right w:w="0" w:type="dxa"/>
          </w:tblCellMar>
        </w:tblPrEx>
        <w:trPr>
          <w:jc w:val="center"/>
        </w:trPr>
        <w:tc>
          <w:tcPr>
            <w:tcW w:w="2700"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其他对外管理服务事项</w:t>
            </w:r>
          </w:p>
        </w:tc>
        <w:tc>
          <w:tcPr>
            <w:tcW w:w="199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4</w:t>
            </w:r>
          </w:p>
        </w:tc>
        <w:tc>
          <w:tcPr>
            <w:tcW w:w="1650"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202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46</w:t>
            </w:r>
          </w:p>
        </w:tc>
      </w:tr>
      <w:tr>
        <w:tblPrEx>
          <w:tblCellMar>
            <w:top w:w="0" w:type="dxa"/>
            <w:left w:w="0" w:type="dxa"/>
            <w:bottom w:w="0" w:type="dxa"/>
            <w:right w:w="0" w:type="dxa"/>
          </w:tblCellMar>
        </w:tblPrEx>
        <w:trPr>
          <w:jc w:val="center"/>
        </w:trPr>
        <w:tc>
          <w:tcPr>
            <w:tcW w:w="8400" w:type="dxa"/>
            <w:gridSpan w:val="4"/>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第二十条第（六）项（乡镇没有行政处罚、行政强制）</w:t>
            </w:r>
          </w:p>
        </w:tc>
      </w:tr>
      <w:tr>
        <w:tblPrEx>
          <w:tblCellMar>
            <w:top w:w="0" w:type="dxa"/>
            <w:left w:w="0" w:type="dxa"/>
            <w:bottom w:w="0" w:type="dxa"/>
            <w:right w:w="0" w:type="dxa"/>
          </w:tblCellMar>
        </w:tblPrEx>
        <w:trPr>
          <w:jc w:val="center"/>
        </w:trPr>
        <w:tc>
          <w:tcPr>
            <w:tcW w:w="2700"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信息内容</w:t>
            </w:r>
          </w:p>
        </w:tc>
        <w:tc>
          <w:tcPr>
            <w:tcW w:w="199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上一年项目数量</w:t>
            </w:r>
          </w:p>
        </w:tc>
        <w:tc>
          <w:tcPr>
            <w:tcW w:w="1650"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本年增/减</w:t>
            </w:r>
          </w:p>
        </w:tc>
        <w:tc>
          <w:tcPr>
            <w:tcW w:w="202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处理决定数量</w:t>
            </w:r>
          </w:p>
        </w:tc>
      </w:tr>
      <w:tr>
        <w:tblPrEx>
          <w:tblCellMar>
            <w:top w:w="0" w:type="dxa"/>
            <w:left w:w="0" w:type="dxa"/>
            <w:bottom w:w="0" w:type="dxa"/>
            <w:right w:w="0" w:type="dxa"/>
          </w:tblCellMar>
        </w:tblPrEx>
        <w:trPr>
          <w:jc w:val="center"/>
        </w:trPr>
        <w:tc>
          <w:tcPr>
            <w:tcW w:w="2700"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行政处罚</w:t>
            </w:r>
          </w:p>
        </w:tc>
        <w:tc>
          <w:tcPr>
            <w:tcW w:w="199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0</w:t>
            </w:r>
          </w:p>
        </w:tc>
        <w:tc>
          <w:tcPr>
            <w:tcW w:w="1650"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0</w:t>
            </w:r>
          </w:p>
        </w:tc>
        <w:tc>
          <w:tcPr>
            <w:tcW w:w="202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2700"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行政强制</w:t>
            </w:r>
          </w:p>
        </w:tc>
        <w:tc>
          <w:tcPr>
            <w:tcW w:w="199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0</w:t>
            </w:r>
          </w:p>
        </w:tc>
        <w:tc>
          <w:tcPr>
            <w:tcW w:w="1650"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0</w:t>
            </w:r>
          </w:p>
        </w:tc>
        <w:tc>
          <w:tcPr>
            <w:tcW w:w="202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8400" w:type="dxa"/>
            <w:gridSpan w:val="4"/>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第二十条第（八）项</w:t>
            </w:r>
          </w:p>
        </w:tc>
      </w:tr>
      <w:tr>
        <w:tblPrEx>
          <w:tblCellMar>
            <w:top w:w="0" w:type="dxa"/>
            <w:left w:w="0" w:type="dxa"/>
            <w:bottom w:w="0" w:type="dxa"/>
            <w:right w:w="0" w:type="dxa"/>
          </w:tblCellMar>
        </w:tblPrEx>
        <w:trPr>
          <w:jc w:val="center"/>
        </w:trPr>
        <w:tc>
          <w:tcPr>
            <w:tcW w:w="2700"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信息内容</w:t>
            </w:r>
          </w:p>
        </w:tc>
        <w:tc>
          <w:tcPr>
            <w:tcW w:w="199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上一年项目数量</w:t>
            </w:r>
          </w:p>
        </w:tc>
        <w:tc>
          <w:tcPr>
            <w:tcW w:w="3675" w:type="dxa"/>
            <w:gridSpan w:val="2"/>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本年增/减</w:t>
            </w:r>
          </w:p>
        </w:tc>
      </w:tr>
      <w:tr>
        <w:tblPrEx>
          <w:tblCellMar>
            <w:top w:w="0" w:type="dxa"/>
            <w:left w:w="0" w:type="dxa"/>
            <w:bottom w:w="0" w:type="dxa"/>
            <w:right w:w="0" w:type="dxa"/>
          </w:tblCellMar>
        </w:tblPrEx>
        <w:trPr>
          <w:jc w:val="center"/>
        </w:trPr>
        <w:tc>
          <w:tcPr>
            <w:tcW w:w="2700"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行政事业性收费</w:t>
            </w:r>
          </w:p>
        </w:tc>
        <w:tc>
          <w:tcPr>
            <w:tcW w:w="199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0</w:t>
            </w:r>
          </w:p>
        </w:tc>
        <w:tc>
          <w:tcPr>
            <w:tcW w:w="3675" w:type="dxa"/>
            <w:gridSpan w:val="2"/>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0</w:t>
            </w:r>
          </w:p>
        </w:tc>
      </w:tr>
      <w:tr>
        <w:tblPrEx>
          <w:tblCellMar>
            <w:top w:w="0" w:type="dxa"/>
            <w:left w:w="0" w:type="dxa"/>
            <w:bottom w:w="0" w:type="dxa"/>
            <w:right w:w="0" w:type="dxa"/>
          </w:tblCellMar>
        </w:tblPrEx>
        <w:trPr>
          <w:jc w:val="center"/>
        </w:trPr>
        <w:tc>
          <w:tcPr>
            <w:tcW w:w="8400" w:type="dxa"/>
            <w:gridSpan w:val="4"/>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第二十条第（九）项（见末尾说明）</w:t>
            </w:r>
          </w:p>
        </w:tc>
      </w:tr>
      <w:tr>
        <w:tblPrEx>
          <w:tblCellMar>
            <w:top w:w="0" w:type="dxa"/>
            <w:left w:w="0" w:type="dxa"/>
            <w:bottom w:w="0" w:type="dxa"/>
            <w:right w:w="0" w:type="dxa"/>
          </w:tblCellMar>
        </w:tblPrEx>
        <w:trPr>
          <w:jc w:val="center"/>
        </w:trPr>
        <w:tc>
          <w:tcPr>
            <w:tcW w:w="2700"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信息内容</w:t>
            </w:r>
          </w:p>
        </w:tc>
        <w:tc>
          <w:tcPr>
            <w:tcW w:w="199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采购项目数量</w:t>
            </w:r>
          </w:p>
        </w:tc>
        <w:tc>
          <w:tcPr>
            <w:tcW w:w="3675" w:type="dxa"/>
            <w:gridSpan w:val="2"/>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采购总金额（元）</w:t>
            </w:r>
          </w:p>
        </w:tc>
      </w:tr>
      <w:tr>
        <w:tblPrEx>
          <w:tblCellMar>
            <w:top w:w="0" w:type="dxa"/>
            <w:left w:w="0" w:type="dxa"/>
            <w:bottom w:w="0" w:type="dxa"/>
            <w:right w:w="0" w:type="dxa"/>
          </w:tblCellMar>
        </w:tblPrEx>
        <w:trPr>
          <w:jc w:val="center"/>
        </w:trPr>
        <w:tc>
          <w:tcPr>
            <w:tcW w:w="2700" w:type="dxa"/>
            <w:tcBorders>
              <w:top w:val="nil"/>
              <w:left w:val="outset" w:color="000000" w:sz="8" w:space="0"/>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政府集中采购</w:t>
            </w:r>
          </w:p>
        </w:tc>
        <w:tc>
          <w:tcPr>
            <w:tcW w:w="1995" w:type="dxa"/>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kern w:val="0"/>
                <w:sz w:val="32"/>
                <w:szCs w:val="32"/>
                <w:bdr w:val="none" w:color="auto" w:sz="0" w:space="0"/>
                <w:lang w:val="en-US" w:eastAsia="zh-CN" w:bidi="ar"/>
              </w:rPr>
              <w:t>19</w:t>
            </w:r>
          </w:p>
        </w:tc>
        <w:tc>
          <w:tcPr>
            <w:tcW w:w="3675" w:type="dxa"/>
            <w:gridSpan w:val="2"/>
            <w:tcBorders>
              <w:top w:val="nil"/>
              <w:left w:val="nil"/>
              <w:bottom w:val="outset" w:color="000000" w:sz="8" w:space="0"/>
              <w:right w:val="outset" w:color="000000" w:sz="8" w:space="0"/>
            </w:tcBorders>
            <w:shd w:val="clear"/>
            <w:noWrap/>
            <w:vAlign w:val="center"/>
          </w:tcPr>
          <w:p>
            <w:pPr>
              <w:keepNext w:val="0"/>
              <w:keepLines w:val="0"/>
              <w:widowControl/>
              <w:suppressLineNumbers w:val="0"/>
              <w:spacing w:beforeAutospacing="1" w:afterAutospacing="1" w:line="600" w:lineRule="atLeast"/>
              <w:ind w:left="0" w:right="0"/>
              <w:jc w:val="center"/>
            </w:pPr>
            <w:r>
              <w:rPr>
                <w:rFonts w:hint="eastAsia" w:ascii="宋体" w:hAnsi="宋体" w:eastAsia="宋体" w:cs="宋体"/>
                <w:color w:val="333333"/>
                <w:kern w:val="0"/>
                <w:sz w:val="32"/>
                <w:szCs w:val="32"/>
                <w:bdr w:val="none" w:color="auto" w:sz="0" w:space="0"/>
                <w:shd w:val="clear" w:fill="FFFFFF"/>
                <w:lang w:val="en-US" w:eastAsia="zh-CN" w:bidi="ar"/>
              </w:rPr>
              <w:t>2067729</w:t>
            </w:r>
            <w:r>
              <w:rPr>
                <w:rFonts w:hint="eastAsia" w:ascii="宋体" w:hAnsi="宋体" w:eastAsia="宋体" w:cs="宋体"/>
                <w:kern w:val="0"/>
                <w:sz w:val="32"/>
                <w:szCs w:val="32"/>
                <w:bdr w:val="none" w:color="auto" w:sz="0" w:space="0"/>
                <w:lang w:val="en-US" w:eastAsia="zh-CN" w:bidi="ar"/>
              </w:rPr>
              <w:t>元</w:t>
            </w:r>
          </w:p>
        </w:tc>
      </w:tr>
    </w:tbl>
    <w:p>
      <w:pPr>
        <w:keepNext w:val="0"/>
        <w:keepLines w:val="0"/>
        <w:widowControl/>
        <w:suppressLineNumbers w:val="0"/>
        <w:shd w:val="clear" w:fill="FFFFFF"/>
        <w:spacing w:beforeAutospacing="1" w:afterAutospacing="1" w:line="600" w:lineRule="atLeast"/>
        <w:ind w:left="0" w:right="0"/>
        <w:jc w:val="left"/>
      </w:pPr>
      <w:r>
        <w:rPr>
          <w:rFonts w:hint="eastAsia" w:ascii="宋体" w:hAnsi="宋体" w:eastAsia="宋体" w:cs="宋体"/>
          <w:color w:val="555555"/>
          <w:kern w:val="0"/>
          <w:sz w:val="32"/>
          <w:szCs w:val="32"/>
          <w:shd w:val="clear" w:fill="FFFFFF"/>
          <w:lang w:val="en-US" w:eastAsia="zh-CN" w:bidi="ar"/>
        </w:rPr>
        <w:t>三、收到和处理政府信息公开申请情况</w:t>
      </w:r>
    </w:p>
    <w:tbl>
      <w:tblPr>
        <w:tblW w:w="15135" w:type="dxa"/>
        <w:jc w:val="center"/>
        <w:shd w:val="clear"/>
        <w:tblLayout w:type="autofit"/>
        <w:tblCellMar>
          <w:top w:w="0" w:type="dxa"/>
          <w:left w:w="0" w:type="dxa"/>
          <w:bottom w:w="0" w:type="dxa"/>
          <w:right w:w="0" w:type="dxa"/>
        </w:tblCellMar>
      </w:tblPr>
      <w:tblGrid>
        <w:gridCol w:w="1309"/>
        <w:gridCol w:w="1721"/>
        <w:gridCol w:w="3288"/>
        <w:gridCol w:w="1294"/>
        <w:gridCol w:w="1207"/>
        <w:gridCol w:w="1207"/>
        <w:gridCol w:w="1294"/>
        <w:gridCol w:w="1537"/>
        <w:gridCol w:w="1140"/>
        <w:gridCol w:w="1138"/>
      </w:tblGrid>
      <w:tr>
        <w:tblPrEx>
          <w:shd w:val="clear"/>
          <w:tblCellMar>
            <w:top w:w="0" w:type="dxa"/>
            <w:left w:w="0" w:type="dxa"/>
            <w:bottom w:w="0" w:type="dxa"/>
            <w:right w:w="0" w:type="dxa"/>
          </w:tblCellMar>
        </w:tblPrEx>
        <w:trPr>
          <w:jc w:val="center"/>
        </w:trPr>
        <w:tc>
          <w:tcPr>
            <w:tcW w:w="3473" w:type="dxa"/>
            <w:gridSpan w:val="3"/>
            <w:vMerge w:val="restart"/>
            <w:tcBorders>
              <w:top w:val="outset" w:color="000000" w:sz="8" w:space="0"/>
              <w:left w:val="outset" w:color="000000" w:sz="8" w:space="0"/>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（本列数据的勾稽关系为：第一项加第二项之和，等于第三项加第四项之和）</w:t>
            </w:r>
          </w:p>
        </w:tc>
        <w:tc>
          <w:tcPr>
            <w:tcW w:w="5020" w:type="dxa"/>
            <w:gridSpan w:val="7"/>
            <w:tcBorders>
              <w:top w:val="outset" w:color="000000" w:sz="8" w:space="0"/>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申请人情况</w:t>
            </w:r>
          </w:p>
        </w:tc>
      </w:tr>
      <w:tr>
        <w:tblPrEx>
          <w:tblCellMar>
            <w:top w:w="0" w:type="dxa"/>
            <w:left w:w="0" w:type="dxa"/>
            <w:bottom w:w="0" w:type="dxa"/>
            <w:right w:w="0" w:type="dxa"/>
          </w:tblCellMar>
        </w:tblPrEx>
        <w:trPr>
          <w:jc w:val="center"/>
        </w:trPr>
        <w:tc>
          <w:tcPr>
            <w:tcW w:w="3473" w:type="dxa"/>
            <w:gridSpan w:val="3"/>
            <w:vMerge w:val="continue"/>
            <w:tcBorders>
              <w:top w:val="outset" w:color="000000" w:sz="8" w:space="0"/>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737"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自然人</w:t>
            </w:r>
          </w:p>
        </w:tc>
        <w:tc>
          <w:tcPr>
            <w:tcW w:w="3635" w:type="dxa"/>
            <w:gridSpan w:val="5"/>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法人或其他组织</w:t>
            </w:r>
          </w:p>
        </w:tc>
        <w:tc>
          <w:tcPr>
            <w:tcW w:w="648"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总计</w:t>
            </w:r>
          </w:p>
        </w:tc>
      </w:tr>
      <w:tr>
        <w:tblPrEx>
          <w:tblCellMar>
            <w:top w:w="0" w:type="dxa"/>
            <w:left w:w="0" w:type="dxa"/>
            <w:bottom w:w="0" w:type="dxa"/>
            <w:right w:w="0" w:type="dxa"/>
          </w:tblCellMar>
        </w:tblPrEx>
        <w:trPr>
          <w:trHeight w:val="2321" w:hRule="atLeast"/>
          <w:jc w:val="center"/>
        </w:trPr>
        <w:tc>
          <w:tcPr>
            <w:tcW w:w="3473" w:type="dxa"/>
            <w:gridSpan w:val="3"/>
            <w:vMerge w:val="continue"/>
            <w:tcBorders>
              <w:top w:val="outset" w:color="000000" w:sz="8" w:space="0"/>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737"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68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商业企业</w:t>
            </w:r>
          </w:p>
        </w:tc>
        <w:tc>
          <w:tcPr>
            <w:tcW w:w="68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科研机构</w:t>
            </w:r>
          </w:p>
        </w:tc>
        <w:tc>
          <w:tcPr>
            <w:tcW w:w="73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社会公益组织</w:t>
            </w:r>
          </w:p>
        </w:tc>
        <w:tc>
          <w:tcPr>
            <w:tcW w:w="87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法律服务机构</w:t>
            </w:r>
          </w:p>
        </w:tc>
        <w:tc>
          <w:tcPr>
            <w:tcW w:w="649"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其他</w:t>
            </w:r>
          </w:p>
        </w:tc>
        <w:tc>
          <w:tcPr>
            <w:tcW w:w="648"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r>
      <w:tr>
        <w:tblPrEx>
          <w:tblCellMar>
            <w:top w:w="0" w:type="dxa"/>
            <w:left w:w="0" w:type="dxa"/>
            <w:bottom w:w="0" w:type="dxa"/>
            <w:right w:w="0" w:type="dxa"/>
          </w:tblCellMar>
        </w:tblPrEx>
        <w:trPr>
          <w:trHeight w:val="1050" w:hRule="atLeast"/>
          <w:jc w:val="center"/>
        </w:trPr>
        <w:tc>
          <w:tcPr>
            <w:tcW w:w="3473" w:type="dxa"/>
            <w:gridSpan w:val="3"/>
            <w:tcBorders>
              <w:top w:val="nil"/>
              <w:left w:val="outset" w:color="000000" w:sz="8" w:space="0"/>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一、本年新收政府信息公开申请数量</w:t>
            </w:r>
          </w:p>
        </w:tc>
        <w:tc>
          <w:tcPr>
            <w:tcW w:w="73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trHeight w:val="1038" w:hRule="atLeast"/>
          <w:jc w:val="center"/>
        </w:trPr>
        <w:tc>
          <w:tcPr>
            <w:tcW w:w="3473" w:type="dxa"/>
            <w:gridSpan w:val="3"/>
            <w:tcBorders>
              <w:top w:val="nil"/>
              <w:left w:val="outset" w:color="000000" w:sz="8" w:space="0"/>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二、上年结转政府信息公开申请数量</w:t>
            </w:r>
          </w:p>
        </w:tc>
        <w:tc>
          <w:tcPr>
            <w:tcW w:w="73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restart"/>
            <w:tcBorders>
              <w:top w:val="nil"/>
              <w:left w:val="outset" w:color="000000" w:sz="8" w:space="0"/>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三、本年度办理结果</w:t>
            </w:r>
          </w:p>
        </w:tc>
        <w:tc>
          <w:tcPr>
            <w:tcW w:w="2727" w:type="dxa"/>
            <w:gridSpan w:val="2"/>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（一）予以公开</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2727" w:type="dxa"/>
            <w:gridSpan w:val="2"/>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（二）部分公开（区分处理的，只计这一情形，不计其他情形）</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trHeight w:val="1144" w:hRule="atLeast"/>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855"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（三）不予公开</w:t>
            </w:r>
          </w:p>
        </w:tc>
        <w:tc>
          <w:tcPr>
            <w:tcW w:w="1872"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1.属于国家秘密</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8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872"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2.其他法律行政法规禁止公开</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trHeight w:val="453" w:hRule="atLeast"/>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8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872"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3.危及“三安全一稳定”</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8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872"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4.保护第三方合法权益</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8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872"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5.属于三类内部事务信息</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8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872"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6.属于四类过程性信息</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8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872"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7.属于行政执法案卷</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8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872"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8.属于行政查询事项</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855"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（四）无法提供</w:t>
            </w:r>
          </w:p>
        </w:tc>
        <w:tc>
          <w:tcPr>
            <w:tcW w:w="1872"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1.本机关不掌握相关政府信息</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8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872"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2.没有现成信息需要另行制作</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8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872"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3.补正后申请内容仍不明确</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855"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（五）不予处理</w:t>
            </w:r>
          </w:p>
        </w:tc>
        <w:tc>
          <w:tcPr>
            <w:tcW w:w="1872"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1.信访举报投诉类申请</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8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872"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2.重复申请</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8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872"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3.要求提供公开出版物</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8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872"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4.无正当理由大量反复申请</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8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1872"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5.要求行政机关确认或重新出具已获取信息</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2727" w:type="dxa"/>
            <w:gridSpan w:val="2"/>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（六）其他处理</w:t>
            </w:r>
          </w:p>
        </w:tc>
        <w:tc>
          <w:tcPr>
            <w:tcW w:w="73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746"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2727" w:type="dxa"/>
            <w:gridSpan w:val="2"/>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（七）总计</w:t>
            </w:r>
          </w:p>
        </w:tc>
        <w:tc>
          <w:tcPr>
            <w:tcW w:w="737"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r>
        <w:tblPrEx>
          <w:tblCellMar>
            <w:top w:w="0" w:type="dxa"/>
            <w:left w:w="0" w:type="dxa"/>
            <w:bottom w:w="0" w:type="dxa"/>
            <w:right w:w="0" w:type="dxa"/>
          </w:tblCellMar>
        </w:tblPrEx>
        <w:trPr>
          <w:jc w:val="center"/>
        </w:trPr>
        <w:tc>
          <w:tcPr>
            <w:tcW w:w="3473" w:type="dxa"/>
            <w:gridSpan w:val="3"/>
            <w:tcBorders>
              <w:top w:val="nil"/>
              <w:left w:val="outset" w:color="000000" w:sz="8" w:space="0"/>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四、结转下年度继续办理</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8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737"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875"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9"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648" w:type="dxa"/>
            <w:tcBorders>
              <w:top w:val="nil"/>
              <w:left w:val="nil"/>
              <w:bottom w:val="outset" w:color="000000" w:sz="8" w:space="0"/>
              <w:right w:val="outset" w:color="000000" w:sz="8" w:space="0"/>
            </w:tcBorders>
            <w:shd w:val="clear"/>
            <w:vAlign w:val="top"/>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bl>
    <w:p>
      <w:pPr>
        <w:keepNext w:val="0"/>
        <w:keepLines w:val="0"/>
        <w:widowControl/>
        <w:suppressLineNumbers w:val="0"/>
        <w:shd w:val="clear" w:fill="FFFFFF"/>
        <w:spacing w:beforeAutospacing="1" w:afterAutospacing="1" w:line="600" w:lineRule="atLeast"/>
        <w:ind w:left="0" w:right="0"/>
        <w:jc w:val="left"/>
      </w:pPr>
      <w:r>
        <w:rPr>
          <w:rFonts w:hint="eastAsia" w:ascii="宋体" w:hAnsi="宋体" w:eastAsia="宋体" w:cs="宋体"/>
          <w:color w:val="555555"/>
          <w:kern w:val="0"/>
          <w:sz w:val="32"/>
          <w:szCs w:val="32"/>
          <w:shd w:val="clear" w:fill="FFFFFF"/>
          <w:lang w:val="en-US" w:eastAsia="zh-CN" w:bidi="ar"/>
        </w:rPr>
        <w:t>四、政府信息公开行政复议、行政诉讼情况</w:t>
      </w:r>
    </w:p>
    <w:tbl>
      <w:tblPr>
        <w:tblW w:w="14835" w:type="dxa"/>
        <w:jc w:val="center"/>
        <w:shd w:val="clear"/>
        <w:tblLayout w:type="autofit"/>
        <w:tblCellMar>
          <w:top w:w="0" w:type="dxa"/>
          <w:left w:w="0" w:type="dxa"/>
          <w:bottom w:w="0" w:type="dxa"/>
          <w:right w:w="0" w:type="dxa"/>
        </w:tblCellMar>
      </w:tblPr>
      <w:tblGrid>
        <w:gridCol w:w="967"/>
        <w:gridCol w:w="967"/>
        <w:gridCol w:w="967"/>
        <w:gridCol w:w="967"/>
        <w:gridCol w:w="1075"/>
        <w:gridCol w:w="967"/>
        <w:gridCol w:w="967"/>
        <w:gridCol w:w="967"/>
        <w:gridCol w:w="967"/>
        <w:gridCol w:w="1076"/>
        <w:gridCol w:w="968"/>
        <w:gridCol w:w="968"/>
        <w:gridCol w:w="968"/>
        <w:gridCol w:w="968"/>
        <w:gridCol w:w="1076"/>
      </w:tblGrid>
      <w:tr>
        <w:trPr>
          <w:jc w:val="center"/>
        </w:trPr>
        <w:tc>
          <w:tcPr>
            <w:tcW w:w="2837" w:type="dxa"/>
            <w:gridSpan w:val="5"/>
            <w:tcBorders>
              <w:top w:val="outset" w:color="000000" w:sz="8" w:space="0"/>
              <w:left w:val="outset" w:color="000000" w:sz="8" w:space="0"/>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行政复议</w:t>
            </w:r>
          </w:p>
        </w:tc>
        <w:tc>
          <w:tcPr>
            <w:tcW w:w="5674" w:type="dxa"/>
            <w:gridSpan w:val="10"/>
            <w:tcBorders>
              <w:top w:val="outset" w:color="000000" w:sz="8" w:space="0"/>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行政诉讼</w:t>
            </w:r>
          </w:p>
        </w:tc>
      </w:tr>
      <w:tr>
        <w:tblPrEx>
          <w:tblCellMar>
            <w:top w:w="0" w:type="dxa"/>
            <w:left w:w="0" w:type="dxa"/>
            <w:bottom w:w="0" w:type="dxa"/>
            <w:right w:w="0" w:type="dxa"/>
          </w:tblCellMar>
        </w:tblPrEx>
        <w:trPr>
          <w:jc w:val="center"/>
        </w:trPr>
        <w:tc>
          <w:tcPr>
            <w:tcW w:w="555" w:type="dxa"/>
            <w:vMerge w:val="restart"/>
            <w:tcBorders>
              <w:top w:val="nil"/>
              <w:left w:val="outset" w:color="000000" w:sz="8" w:space="0"/>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结果维持</w:t>
            </w:r>
          </w:p>
        </w:tc>
        <w:tc>
          <w:tcPr>
            <w:tcW w:w="555"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结果纠正</w:t>
            </w:r>
          </w:p>
        </w:tc>
        <w:tc>
          <w:tcPr>
            <w:tcW w:w="555"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其他结果</w:t>
            </w:r>
          </w:p>
        </w:tc>
        <w:tc>
          <w:tcPr>
            <w:tcW w:w="555"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尚未审结</w:t>
            </w:r>
          </w:p>
        </w:tc>
        <w:tc>
          <w:tcPr>
            <w:tcW w:w="555" w:type="dxa"/>
            <w:vMerge w:val="restart"/>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总计</w:t>
            </w:r>
          </w:p>
        </w:tc>
        <w:tc>
          <w:tcPr>
            <w:tcW w:w="2837" w:type="dxa"/>
            <w:gridSpan w:val="5"/>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未经复议直接起诉</w:t>
            </w:r>
          </w:p>
        </w:tc>
        <w:tc>
          <w:tcPr>
            <w:tcW w:w="2837" w:type="dxa"/>
            <w:gridSpan w:val="5"/>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复议后起诉</w:t>
            </w:r>
          </w:p>
        </w:tc>
      </w:tr>
      <w:tr>
        <w:tblPrEx>
          <w:tblCellMar>
            <w:top w:w="0" w:type="dxa"/>
            <w:left w:w="0" w:type="dxa"/>
            <w:bottom w:w="0" w:type="dxa"/>
            <w:right w:w="0" w:type="dxa"/>
          </w:tblCellMar>
        </w:tblPrEx>
        <w:trPr>
          <w:jc w:val="center"/>
        </w:trPr>
        <w:tc>
          <w:tcPr>
            <w:tcW w:w="555" w:type="dxa"/>
            <w:vMerge w:val="continue"/>
            <w:tcBorders>
              <w:top w:val="nil"/>
              <w:left w:val="outset" w:color="000000" w:sz="8" w:space="0"/>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5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5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5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555" w:type="dxa"/>
            <w:vMerge w:val="continue"/>
            <w:tcBorders>
              <w:top w:val="nil"/>
              <w:left w:val="nil"/>
              <w:bottom w:val="outset" w:color="000000" w:sz="8" w:space="0"/>
              <w:right w:val="outset" w:color="000000" w:sz="8" w:space="0"/>
            </w:tcBorders>
            <w:shd w:val="clear"/>
            <w:vAlign w:val="center"/>
          </w:tcPr>
          <w:p>
            <w:pPr>
              <w:rPr>
                <w:rFonts w:hint="eastAsia" w:ascii="宋体" w:hAnsi="宋体" w:eastAsia="宋体" w:cs="宋体"/>
                <w:sz w:val="24"/>
                <w:szCs w:val="24"/>
              </w:rPr>
            </w:pP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结果维持</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结果纠正</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其他结果</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尚未审结</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总计</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结果维持</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结果纠正</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其他结果</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尚未审结</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总计</w:t>
            </w:r>
          </w:p>
        </w:tc>
      </w:tr>
      <w:tr>
        <w:tblPrEx>
          <w:tblCellMar>
            <w:top w:w="0" w:type="dxa"/>
            <w:left w:w="0" w:type="dxa"/>
            <w:bottom w:w="0" w:type="dxa"/>
            <w:right w:w="0" w:type="dxa"/>
          </w:tblCellMar>
        </w:tblPrEx>
        <w:trPr>
          <w:jc w:val="center"/>
        </w:trPr>
        <w:tc>
          <w:tcPr>
            <w:tcW w:w="555" w:type="dxa"/>
            <w:tcBorders>
              <w:top w:val="nil"/>
              <w:left w:val="outset" w:color="000000" w:sz="8" w:space="0"/>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0 </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c>
          <w:tcPr>
            <w:tcW w:w="555" w:type="dxa"/>
            <w:tcBorders>
              <w:top w:val="nil"/>
              <w:left w:val="nil"/>
              <w:bottom w:val="outset" w:color="000000" w:sz="8" w:space="0"/>
              <w:right w:val="outset" w:color="000000" w:sz="8" w:space="0"/>
            </w:tcBorders>
            <w:shd w:val="clear"/>
            <w:vAlign w:val="center"/>
          </w:tcPr>
          <w:p>
            <w:pPr>
              <w:keepNext w:val="0"/>
              <w:keepLines w:val="0"/>
              <w:widowControl/>
              <w:suppressLineNumbers w:val="0"/>
              <w:spacing w:beforeAutospacing="1" w:afterAutospacing="1" w:line="600" w:lineRule="atLeast"/>
              <w:ind w:left="0" w:right="0"/>
              <w:jc w:val="left"/>
            </w:pPr>
            <w:r>
              <w:rPr>
                <w:rFonts w:hint="eastAsia" w:ascii="宋体" w:hAnsi="宋体" w:eastAsia="宋体" w:cs="宋体"/>
                <w:kern w:val="0"/>
                <w:sz w:val="32"/>
                <w:szCs w:val="32"/>
                <w:bdr w:val="none" w:color="auto" w:sz="0" w:space="0"/>
                <w:lang w:val="en-US" w:eastAsia="zh-CN" w:bidi="ar"/>
              </w:rPr>
              <w:t> 0</w:t>
            </w:r>
          </w:p>
        </w:tc>
      </w:tr>
    </w:tbl>
    <w:p>
      <w:pPr>
        <w:keepNext w:val="0"/>
        <w:keepLines w:val="0"/>
        <w:widowControl/>
        <w:suppressLineNumbers w:val="0"/>
        <w:shd w:val="clear" w:fill="FFFFFF"/>
        <w:spacing w:beforeAutospacing="1" w:afterAutospacing="1" w:line="600" w:lineRule="atLeast"/>
        <w:ind w:left="0" w:right="0"/>
        <w:jc w:val="left"/>
      </w:pPr>
      <w:r>
        <w:rPr>
          <w:rFonts w:hint="eastAsia" w:ascii="宋体" w:hAnsi="宋体" w:eastAsia="宋体" w:cs="宋体"/>
          <w:color w:val="555555"/>
          <w:kern w:val="0"/>
          <w:sz w:val="32"/>
          <w:szCs w:val="32"/>
          <w:shd w:val="clear" w:fill="FFFFFF"/>
          <w:lang w:val="en-US" w:eastAsia="zh-CN" w:bidi="ar"/>
        </w:rPr>
        <w:t>五、存在的主要问题及改进情况</w:t>
      </w:r>
    </w:p>
    <w:p>
      <w:pPr>
        <w:keepNext w:val="0"/>
        <w:keepLines w:val="0"/>
        <w:widowControl/>
        <w:suppressLineNumbers w:val="0"/>
        <w:shd w:val="clear" w:fill="FFFFFF"/>
        <w:spacing w:before="0" w:beforeAutospacing="0" w:after="0" w:afterAutospacing="0" w:line="600" w:lineRule="atLeast"/>
        <w:ind w:left="45" w:right="45" w:firstLine="560"/>
        <w:jc w:val="left"/>
        <w:textAlignment w:val="top"/>
      </w:pPr>
      <w:r>
        <w:rPr>
          <w:rFonts w:hint="eastAsia" w:ascii="宋体" w:hAnsi="宋体" w:eastAsia="宋体" w:cs="宋体"/>
          <w:color w:val="555555"/>
          <w:kern w:val="0"/>
          <w:sz w:val="32"/>
          <w:szCs w:val="32"/>
          <w:shd w:val="clear" w:fill="FFFFFF"/>
          <w:lang w:val="en-US" w:eastAsia="zh-CN" w:bidi="ar"/>
        </w:rPr>
        <w:t>我局信息公开工作虽然取得了一些成绩，但仍存在一些问题和不足。如：信息公开宣传还不够生动和丰富，公众参与度不够高；政府信息主动公开的深度还有待进一步加强；政府信息公开渠道还有待进一步完善。</w:t>
      </w:r>
    </w:p>
    <w:p>
      <w:pPr>
        <w:keepNext w:val="0"/>
        <w:keepLines w:val="0"/>
        <w:widowControl/>
        <w:suppressLineNumbers w:val="0"/>
        <w:shd w:val="clear" w:fill="FFFFFF"/>
        <w:spacing w:before="0" w:beforeAutospacing="0" w:after="0" w:afterAutospacing="0" w:line="600" w:lineRule="atLeast"/>
        <w:ind w:left="45" w:right="45" w:firstLine="560"/>
        <w:jc w:val="left"/>
        <w:textAlignment w:val="top"/>
      </w:pPr>
      <w:r>
        <w:rPr>
          <w:rFonts w:hint="eastAsia" w:ascii="宋体" w:hAnsi="宋体" w:eastAsia="宋体" w:cs="宋体"/>
          <w:color w:val="555555"/>
          <w:kern w:val="0"/>
          <w:sz w:val="32"/>
          <w:szCs w:val="32"/>
          <w:shd w:val="clear" w:fill="FFFFFF"/>
          <w:lang w:val="en-US" w:eastAsia="zh-CN" w:bidi="ar"/>
        </w:rPr>
        <w:t>针对存在的困难和问题，我局将严格按照上级部门的要求，进一步建立健全工作机制，全面落实工作责任，确保信息公开常态长效运行。</w:t>
      </w:r>
      <w:r>
        <w:rPr>
          <w:rFonts w:hint="eastAsia" w:ascii="宋体" w:hAnsi="宋体" w:eastAsia="宋体" w:cs="宋体"/>
          <w:b/>
          <w:bCs w:val="0"/>
          <w:color w:val="555555"/>
          <w:kern w:val="0"/>
          <w:sz w:val="32"/>
          <w:szCs w:val="32"/>
          <w:shd w:val="clear" w:fill="FFFFFF"/>
          <w:lang w:val="en-US" w:eastAsia="zh-CN" w:bidi="ar"/>
        </w:rPr>
        <w:t>一是</w:t>
      </w:r>
      <w:r>
        <w:rPr>
          <w:rFonts w:hint="eastAsia" w:ascii="宋体" w:hAnsi="宋体" w:eastAsia="宋体" w:cs="宋体"/>
          <w:color w:val="555555"/>
          <w:kern w:val="0"/>
          <w:sz w:val="32"/>
          <w:szCs w:val="32"/>
          <w:shd w:val="clear" w:fill="FFFFFF"/>
          <w:lang w:val="en-US" w:eastAsia="zh-CN" w:bidi="ar"/>
        </w:rPr>
        <w:t>提高认识，加大宣传力度，扩大信息公开工作的影响度，提高有关水利信息的知晓率，更好地服务群众、服务社会。</w:t>
      </w:r>
      <w:r>
        <w:rPr>
          <w:rFonts w:hint="eastAsia" w:ascii="宋体" w:hAnsi="宋体" w:eastAsia="宋体" w:cs="宋体"/>
          <w:b/>
          <w:bCs w:val="0"/>
          <w:color w:val="555555"/>
          <w:kern w:val="0"/>
          <w:sz w:val="32"/>
          <w:szCs w:val="32"/>
          <w:shd w:val="clear" w:fill="FFFFFF"/>
          <w:lang w:val="en-US" w:eastAsia="zh-CN" w:bidi="ar"/>
        </w:rPr>
        <w:t>二是</w:t>
      </w:r>
      <w:r>
        <w:rPr>
          <w:rFonts w:hint="eastAsia" w:ascii="宋体" w:hAnsi="宋体" w:eastAsia="宋体" w:cs="宋体"/>
          <w:color w:val="555555"/>
          <w:kern w:val="0"/>
          <w:sz w:val="32"/>
          <w:szCs w:val="32"/>
          <w:shd w:val="clear" w:fill="FFFFFF"/>
          <w:lang w:val="en-US" w:eastAsia="zh-CN" w:bidi="ar"/>
        </w:rPr>
        <w:t>加强学习，进一步提高工作人员政府信息公开业务水平，完善主动公开的政府信息目录，及时公开政府信息，加强对政府信息进行系统的的梳理和分类，加快信息更新速度，拓宽公开渠道、创新公开方法、丰富公开形式，为群众提供更加方便快捷的信息公开服务；</w:t>
      </w:r>
      <w:r>
        <w:rPr>
          <w:rFonts w:hint="eastAsia" w:ascii="宋体" w:hAnsi="宋体" w:eastAsia="宋体" w:cs="宋体"/>
          <w:b/>
          <w:bCs w:val="0"/>
          <w:color w:val="555555"/>
          <w:kern w:val="0"/>
          <w:sz w:val="32"/>
          <w:szCs w:val="32"/>
          <w:shd w:val="clear" w:fill="FFFFFF"/>
          <w:lang w:val="en-US" w:eastAsia="zh-CN" w:bidi="ar"/>
        </w:rPr>
        <w:t>三是</w:t>
      </w:r>
      <w:r>
        <w:rPr>
          <w:rFonts w:hint="eastAsia" w:ascii="宋体" w:hAnsi="宋体" w:eastAsia="宋体" w:cs="宋体"/>
          <w:color w:val="555555"/>
          <w:kern w:val="0"/>
          <w:sz w:val="32"/>
          <w:szCs w:val="32"/>
          <w:shd w:val="clear" w:fill="FFFFFF"/>
          <w:lang w:val="en-US" w:eastAsia="zh-CN" w:bidi="ar"/>
        </w:rPr>
        <w:t>加强与网民的交流互动，促进水利信息的互通和资源共享，进一步提高办事效率和便民服务的水平；</w:t>
      </w:r>
      <w:r>
        <w:rPr>
          <w:rFonts w:hint="eastAsia" w:ascii="宋体" w:hAnsi="宋体" w:eastAsia="宋体" w:cs="宋体"/>
          <w:b/>
          <w:bCs w:val="0"/>
          <w:color w:val="555555"/>
          <w:kern w:val="0"/>
          <w:sz w:val="32"/>
          <w:szCs w:val="32"/>
          <w:shd w:val="clear" w:fill="FFFFFF"/>
          <w:lang w:val="en-US" w:eastAsia="zh-CN" w:bidi="ar"/>
        </w:rPr>
        <w:t>四是</w:t>
      </w:r>
      <w:r>
        <w:rPr>
          <w:rFonts w:hint="eastAsia" w:ascii="宋体" w:hAnsi="宋体" w:eastAsia="宋体" w:cs="宋体"/>
          <w:color w:val="555555"/>
          <w:kern w:val="0"/>
          <w:sz w:val="32"/>
          <w:szCs w:val="32"/>
          <w:shd w:val="clear" w:fill="FFFFFF"/>
          <w:lang w:val="en-US" w:eastAsia="zh-CN" w:bidi="ar"/>
        </w:rPr>
        <w:t>深入开展调查研究、进一步健全和完善政府信息公开内容审查、更新维护、监督检查等工作机制，积极征求公众意见，推动科学、民主决策，逐步推进政府信息公开工作制度化、规范化发展，促进我局政务公开工作再上新台阶。</w:t>
      </w:r>
    </w:p>
    <w:p>
      <w:pPr>
        <w:keepNext w:val="0"/>
        <w:keepLines w:val="0"/>
        <w:widowControl/>
        <w:suppressLineNumbers w:val="0"/>
        <w:shd w:val="clear" w:fill="FFFFFF"/>
        <w:spacing w:beforeAutospacing="1" w:afterAutospacing="1" w:line="600" w:lineRule="atLeast"/>
        <w:ind w:left="0" w:right="0"/>
        <w:jc w:val="left"/>
      </w:pPr>
      <w:r>
        <w:rPr>
          <w:rFonts w:hint="eastAsia" w:ascii="宋体" w:hAnsi="宋体" w:eastAsia="宋体" w:cs="宋体"/>
          <w:color w:val="555555"/>
          <w:kern w:val="0"/>
          <w:sz w:val="32"/>
          <w:szCs w:val="32"/>
          <w:shd w:val="clear" w:fill="FFFFFF"/>
          <w:lang w:val="en-US" w:eastAsia="zh-CN" w:bidi="ar"/>
        </w:rPr>
        <w:t>六、其他需要报告的事项</w:t>
      </w:r>
    </w:p>
    <w:p>
      <w:pPr>
        <w:keepNext w:val="0"/>
        <w:keepLines w:val="0"/>
        <w:widowControl/>
        <w:suppressLineNumbers w:val="0"/>
        <w:shd w:val="clear" w:fill="FFFFFF"/>
        <w:spacing w:beforeAutospacing="1" w:afterAutospacing="1" w:line="600" w:lineRule="atLeast"/>
        <w:ind w:left="0" w:right="0"/>
        <w:jc w:val="left"/>
      </w:pPr>
      <w:r>
        <w:rPr>
          <w:rFonts w:hint="eastAsia" w:ascii="宋体" w:hAnsi="宋体" w:eastAsia="宋体" w:cs="宋体"/>
          <w:color w:val="555555"/>
          <w:kern w:val="0"/>
          <w:sz w:val="32"/>
          <w:szCs w:val="32"/>
          <w:shd w:val="clear" w:fill="FFFFFF"/>
          <w:lang w:val="en-US" w:eastAsia="zh-CN" w:bidi="ar"/>
        </w:rPr>
        <w:t>无</w:t>
      </w:r>
    </w:p>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lang w:val="en-US" w:eastAsia="zh-CN" w:bidi="ar"/>
        </w:rPr>
        <w:t>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9B6B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2021-04-20T02:55:16Z</dcterms:created>
  <dc:creator>Administrator</dc:creator>
  <cp:lastModifiedBy>ln</cp:lastModifiedBy>
  <dcterms:modified xsi:type="dcterms:W3CDTF">2021-04-20T02:55:36Z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E55F9E258D0B45638AC19095495F60F5</vt:lpwstr>
  </property>
</Properties>
</file>