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w:t>
      </w:r>
      <w:r>
        <w:rPr>
          <w:rFonts w:ascii="仿宋_GB2312" w:hAnsi="仿宋_GB2312" w:eastAsia="仿宋_GB2312" w:cs="仿宋_GB2312"/>
          <w:color w:val="000000"/>
          <w:kern w:val="0"/>
          <w:sz w:val="32"/>
          <w:szCs w:val="32"/>
          <w:shd w:val="clear" w:fill="FFFFFF"/>
          <w:lang w:val="en-US" w:eastAsia="zh-CN" w:bidi="ar"/>
        </w:rPr>
        <w:t> </w:t>
      </w:r>
      <w:r>
        <w:rPr>
          <w:rFonts w:hint="eastAsia" w:ascii="宋体" w:hAnsi="宋体" w:eastAsia="宋体" w:cs="宋体"/>
          <w:kern w:val="0"/>
          <w:sz w:val="24"/>
          <w:szCs w:val="24"/>
          <w:lang w:val="en-US" w:eastAsia="zh-CN" w:bidi="ar"/>
        </w:rPr>
        <w:t xml:space="preserve"> </w:t>
      </w:r>
    </w:p>
    <w:p>
      <w:pPr>
        <w:keepNext w:val="0"/>
        <w:keepLines w:val="0"/>
        <w:widowControl/>
        <w:suppressLineNumbers w:val="0"/>
        <w:shd w:val="clear" w:fill="FFFFFF"/>
        <w:snapToGrid w:val="0"/>
        <w:spacing w:before="0" w:beforeAutospacing="0" w:after="0" w:afterAutospacing="0" w:line="560" w:lineRule="exact"/>
        <w:ind w:left="0" w:right="0" w:firstLine="640"/>
        <w:jc w:val="left"/>
      </w:pPr>
      <w:r>
        <w:rPr>
          <w:rFonts w:hint="eastAsia" w:ascii="仿宋_GB2312" w:hAnsi="仿宋_GB2312" w:eastAsia="仿宋_GB2312" w:cs="仿宋_GB2312"/>
          <w:color w:val="000000"/>
          <w:kern w:val="0"/>
          <w:sz w:val="32"/>
          <w:szCs w:val="32"/>
          <w:shd w:val="clear" w:fill="FFFFFF"/>
          <w:lang w:val="en-US" w:eastAsia="zh-CN" w:bidi="ar"/>
        </w:rPr>
        <w:t>根据《政府信息公开条例》的规定、国办公开办《关于政府信息公开工作年度报告有关事项的通知》和省、市、县政府办公厅（室）的有关要求，特向社会公布武平县林业局2020年度政府信息公开工作年度报告。本报告中所列数据的统计期限自2020年1月1日起，至2020年12月31日止。本报告全文在武平县政府网站政府信息公开县林业局公布,如对本报告有任何疑问，请与武平县林业局综合股联系（地址:武平县平川街道西环路82号；邮编:364300；电话:0597－4822253；传真:0597－4822698；电子邮箱：wpxlyj@163.com）。</w:t>
      </w:r>
    </w:p>
    <w:p>
      <w:pPr>
        <w:keepNext w:val="0"/>
        <w:keepLines w:val="0"/>
        <w:widowControl/>
        <w:suppressLineNumbers w:val="0"/>
        <w:shd w:val="clear" w:fill="FFFFFF"/>
        <w:snapToGrid w:val="0"/>
        <w:spacing w:before="0" w:beforeAutospacing="0" w:after="0" w:afterAutospacing="0" w:line="600" w:lineRule="atLeast"/>
        <w:ind w:left="0" w:right="0" w:firstLine="640"/>
        <w:jc w:val="left"/>
      </w:pPr>
      <w:r>
        <w:rPr>
          <w:rFonts w:ascii="黑体" w:hAnsi="宋体" w:eastAsia="黑体" w:cs="黑体"/>
          <w:color w:val="000000"/>
          <w:kern w:val="0"/>
          <w:sz w:val="32"/>
          <w:szCs w:val="32"/>
          <w:shd w:val="clear" w:fill="FFFFFF"/>
          <w:lang w:val="en-US" w:eastAsia="zh-CN" w:bidi="ar"/>
        </w:rPr>
        <w:t>一、总体情况</w:t>
      </w:r>
    </w:p>
    <w:p>
      <w:pPr>
        <w:keepNext w:val="0"/>
        <w:keepLines w:val="0"/>
        <w:widowControl/>
        <w:suppressLineNumbers w:val="0"/>
        <w:shd w:val="clear" w:fill="FFFFFF"/>
        <w:snapToGrid w:val="0"/>
        <w:spacing w:before="0" w:beforeAutospacing="0" w:after="0" w:afterAutospacing="0" w:line="600" w:lineRule="atLeast"/>
        <w:ind w:left="0" w:right="0" w:firstLine="640"/>
        <w:jc w:val="left"/>
      </w:pPr>
      <w:r>
        <w:rPr>
          <w:rFonts w:hint="eastAsia" w:ascii="仿宋_GB2312" w:hAnsi="仿宋_GB2312" w:eastAsia="仿宋_GB2312" w:cs="仿宋_GB2312"/>
          <w:color w:val="000000"/>
          <w:kern w:val="0"/>
          <w:sz w:val="32"/>
          <w:szCs w:val="32"/>
          <w:shd w:val="clear" w:fill="FFFFFF"/>
          <w:lang w:val="en-US" w:eastAsia="zh-CN" w:bidi="ar"/>
        </w:rPr>
        <w:t>我局高度重视政府信息公开工作，按照“改进工作作风，提高办事效率，增强服务意识，树立廉洁形象，自觉接受监督”的总体要求，加强信息公开专门机构建设和人员配备，为做好信息公开工作提供必要保障。</w:t>
      </w:r>
    </w:p>
    <w:p>
      <w:pPr>
        <w:keepNext w:val="0"/>
        <w:keepLines w:val="0"/>
        <w:widowControl/>
        <w:suppressLineNumbers w:val="0"/>
        <w:shd w:val="clear" w:fill="FFFFFF"/>
        <w:snapToGrid w:val="0"/>
        <w:spacing w:before="0" w:beforeAutospacing="0" w:after="0" w:afterAutospacing="0" w:line="600" w:lineRule="atLeast"/>
        <w:ind w:left="640" w:right="0"/>
        <w:jc w:val="left"/>
      </w:pPr>
      <w:r>
        <w:rPr>
          <w:rFonts w:ascii="楷体" w:hAnsi="楷体" w:eastAsia="楷体" w:cs="楷体"/>
          <w:b/>
          <w:bCs/>
          <w:color w:val="000000"/>
          <w:kern w:val="0"/>
          <w:sz w:val="32"/>
          <w:szCs w:val="32"/>
          <w:shd w:val="clear" w:fill="FFFFFF"/>
          <w:lang w:val="en-US" w:eastAsia="zh-CN" w:bidi="ar"/>
        </w:rPr>
        <w:t>（一）加强组织领导，优化强化队伍建设</w:t>
      </w:r>
    </w:p>
    <w:p>
      <w:pPr>
        <w:keepNext w:val="0"/>
        <w:keepLines w:val="0"/>
        <w:widowControl/>
        <w:suppressLineNumbers w:val="0"/>
        <w:shd w:val="clear" w:fill="FFFFFF"/>
        <w:snapToGrid w:val="0"/>
        <w:spacing w:before="0" w:beforeAutospacing="0" w:after="0" w:afterAutospacing="0" w:line="600" w:lineRule="atLeast"/>
        <w:ind w:left="0" w:right="0" w:firstLine="640" w:firstLineChars="200"/>
        <w:jc w:val="left"/>
      </w:pPr>
      <w:r>
        <w:rPr>
          <w:rFonts w:hint="eastAsia" w:ascii="仿宋_GB2312" w:hAnsi="仿宋_GB2312" w:eastAsia="仿宋_GB2312" w:cs="仿宋_GB2312"/>
          <w:color w:val="000000"/>
          <w:kern w:val="0"/>
          <w:sz w:val="32"/>
          <w:szCs w:val="32"/>
          <w:shd w:val="clear" w:fill="FFFFFF"/>
          <w:lang w:val="en-US" w:eastAsia="zh-CN" w:bidi="ar"/>
        </w:rPr>
        <w:t>2020年，我局认真贯彻落实各项规定和要求，进一步调整充实政府信息公开工作领导小组和信息公开保密审查领导小组，领导小组下设办公室，挂靠综合股，各股室负责人为成员，由局综合股作为政府信息公开日常工作机构，配备专人负责政府信息公开各项工作，做好信息公开保密审查工作，确保重要信息不漏报、不迟报、不误报，政府信息公开工作得到了有效的贯彻落实。</w:t>
      </w:r>
    </w:p>
    <w:p>
      <w:pPr>
        <w:keepNext w:val="0"/>
        <w:keepLines w:val="0"/>
        <w:widowControl/>
        <w:suppressLineNumbers w:val="0"/>
        <w:shd w:val="clear" w:fill="FFFFFF"/>
        <w:snapToGrid w:val="0"/>
        <w:spacing w:before="0" w:beforeAutospacing="0" w:after="0" w:afterAutospacing="0" w:line="600" w:lineRule="atLeast"/>
        <w:ind w:left="640" w:right="0"/>
        <w:jc w:val="left"/>
      </w:pPr>
      <w:r>
        <w:rPr>
          <w:rFonts w:hint="eastAsia" w:ascii="楷体" w:hAnsi="楷体" w:eastAsia="楷体" w:cs="楷体"/>
          <w:b/>
          <w:bCs/>
          <w:color w:val="000000"/>
          <w:kern w:val="0"/>
          <w:sz w:val="32"/>
          <w:szCs w:val="32"/>
          <w:shd w:val="clear" w:fill="FFFFFF"/>
          <w:lang w:val="en-US" w:eastAsia="zh-CN" w:bidi="ar"/>
        </w:rPr>
        <w:t>（二）加强规范建设，建立健全信息公开制度</w:t>
      </w:r>
    </w:p>
    <w:p>
      <w:pPr>
        <w:keepNext w:val="0"/>
        <w:keepLines w:val="0"/>
        <w:widowControl/>
        <w:suppressLineNumbers w:val="0"/>
        <w:shd w:val="clear" w:fill="FFFFFF"/>
        <w:snapToGrid w:val="0"/>
        <w:spacing w:before="0" w:beforeAutospacing="0" w:after="0" w:afterAutospacing="0" w:line="600" w:lineRule="atLeast"/>
        <w:ind w:left="0" w:right="0" w:firstLine="640" w:firstLineChars="200"/>
        <w:jc w:val="left"/>
      </w:pPr>
      <w:r>
        <w:rPr>
          <w:rFonts w:hint="eastAsia" w:ascii="仿宋_GB2312" w:hAnsi="仿宋_GB2312" w:eastAsia="仿宋_GB2312" w:cs="仿宋_GB2312"/>
          <w:color w:val="000000"/>
          <w:kern w:val="0"/>
          <w:sz w:val="32"/>
          <w:szCs w:val="32"/>
          <w:shd w:val="clear" w:fill="FFFFFF"/>
          <w:lang w:val="en-US" w:eastAsia="zh-CN" w:bidi="ar"/>
        </w:rPr>
        <w:t>为进一步完善制度，健全机制，制定和印发了《武平县林业局信息工作制度》，明确推行政府信息公开工作的时限，按照“合法、全面、准确、及时”的要求公开政府信息，不断健全完善政府信息主动公开制度和依申请公开制度、保密审查等制度，充分发挥了林业信息对人民群众的服务作用，推进了“服务政府、责任政府、法治政府、廉洁政府”建设，为政府信息公开工作长期有效的开展提供了组织和制度保障，并确保涉密信息安全。</w:t>
      </w:r>
    </w:p>
    <w:p>
      <w:pPr>
        <w:keepNext w:val="0"/>
        <w:keepLines w:val="0"/>
        <w:widowControl/>
        <w:suppressLineNumbers w:val="0"/>
        <w:shd w:val="clear" w:fill="FFFFFF"/>
        <w:snapToGrid w:val="0"/>
        <w:spacing w:before="0" w:beforeAutospacing="0" w:after="0" w:afterAutospacing="0" w:line="600" w:lineRule="atLeast"/>
        <w:ind w:left="0" w:right="0" w:firstLine="640"/>
        <w:jc w:val="left"/>
      </w:pPr>
      <w:r>
        <w:rPr>
          <w:rFonts w:hint="eastAsia" w:ascii="楷体" w:hAnsi="楷体" w:eastAsia="楷体" w:cs="楷体"/>
          <w:b/>
          <w:bCs/>
          <w:color w:val="000000"/>
          <w:kern w:val="0"/>
          <w:sz w:val="32"/>
          <w:szCs w:val="32"/>
          <w:shd w:val="clear" w:fill="FFFFFF"/>
          <w:lang w:val="en-US" w:eastAsia="zh-CN" w:bidi="ar"/>
        </w:rPr>
        <w:t>（三）强化监督落实，提高政务公开质量</w:t>
      </w:r>
    </w:p>
    <w:p>
      <w:pPr>
        <w:keepNext w:val="0"/>
        <w:keepLines w:val="0"/>
        <w:widowControl/>
        <w:suppressLineNumbers w:val="0"/>
        <w:shd w:val="clear" w:fill="FFFFFF"/>
        <w:snapToGrid w:val="0"/>
        <w:spacing w:before="0" w:beforeAutospacing="0" w:after="0" w:afterAutospacing="0" w:line="600" w:lineRule="atLeast"/>
        <w:ind w:left="0" w:right="0" w:firstLine="620" w:firstLineChars="200"/>
        <w:jc w:val="left"/>
      </w:pPr>
      <w:r>
        <w:rPr>
          <w:rFonts w:hint="eastAsia" w:ascii="仿宋_GB2312" w:hAnsi="宋体" w:eastAsia="仿宋_GB2312" w:cs="仿宋_GB2312"/>
          <w:color w:val="333333"/>
          <w:kern w:val="0"/>
          <w:sz w:val="31"/>
          <w:szCs w:val="31"/>
          <w:shd w:val="clear" w:fill="FFFFFF"/>
          <w:lang w:val="en-US" w:eastAsia="zh-CN" w:bidi="ar"/>
        </w:rPr>
        <w:t>明确主动公开政府信息的发布程序及依申请公开政府信息办理的流程、时限等，</w:t>
      </w:r>
      <w:r>
        <w:rPr>
          <w:rFonts w:hint="eastAsia" w:ascii="仿宋_GB2312" w:hAnsi="仿宋_GB2312" w:eastAsia="仿宋_GB2312" w:cs="仿宋_GB2312"/>
          <w:color w:val="000000"/>
          <w:kern w:val="0"/>
          <w:sz w:val="32"/>
          <w:szCs w:val="32"/>
          <w:shd w:val="clear" w:fill="FFFFFF"/>
          <w:lang w:val="en-US" w:eastAsia="zh-CN" w:bidi="ar"/>
        </w:rPr>
        <w:t>加强内部监督机制</w:t>
      </w:r>
      <w:r>
        <w:rPr>
          <w:rFonts w:hint="eastAsia" w:ascii="仿宋_GB2312" w:hAnsi="宋体" w:eastAsia="仿宋_GB2312" w:cs="仿宋_GB2312"/>
          <w:color w:val="333333"/>
          <w:kern w:val="0"/>
          <w:sz w:val="31"/>
          <w:szCs w:val="31"/>
          <w:shd w:val="clear" w:fill="FFFFFF"/>
          <w:lang w:val="en-US" w:eastAsia="zh-CN" w:bidi="ar"/>
        </w:rPr>
        <w:t>，及时发布林业相关的重要信息，真正做到服务大局，服务群众。</w:t>
      </w:r>
    </w:p>
    <w:p>
      <w:pPr>
        <w:spacing w:before="0" w:beforeAutospacing="0" w:after="0" w:afterAutospacing="0"/>
        <w:ind w:firstLine="0"/>
        <w:rPr>
          <w:rFonts w:hint="eastAsia" w:ascii="仿宋_GB2312" w:hAnsi="宋体" w:eastAsia="仿宋_GB2312" w:cs="仿宋_GB2312"/>
          <w:color w:val="333333"/>
          <w:kern w:val="2"/>
          <w:sz w:val="31"/>
          <w:szCs w:val="31"/>
          <w:shd w:val="clear" w:fill="FFFFFF"/>
          <w:lang w:val="en-US" w:eastAsia="zh-CN" w:bidi="ar"/>
        </w:rPr>
        <w:sectPr>
          <w:pgSz w:w="12242" w:h="15842"/>
          <w:pgMar w:top="1440" w:right="1800" w:bottom="1440" w:left="1800" w:header="851" w:footer="992" w:gutter="0"/>
          <w:cols w:space="425" w:num="1"/>
          <w:docGrid w:type="lines" w:linePitch="312" w:charSpace="0"/>
        </w:sectPr>
      </w:pPr>
    </w:p>
    <w:p>
      <w:pPr>
        <w:keepNext w:val="0"/>
        <w:keepLines w:val="0"/>
        <w:widowControl/>
        <w:suppressLineNumbers w:val="0"/>
        <w:shd w:val="clear" w:fill="FFFFFF"/>
        <w:snapToGrid w:val="0"/>
        <w:spacing w:before="0" w:beforeAutospacing="0" w:after="0" w:afterAutospacing="0" w:line="600" w:lineRule="atLeast"/>
        <w:ind w:left="0" w:right="0" w:firstLine="640" w:firstLineChars="200"/>
        <w:jc w:val="left"/>
      </w:pPr>
      <w:r>
        <w:rPr>
          <w:rFonts w:hint="eastAsia" w:ascii="黑体" w:hAnsi="宋体" w:eastAsia="黑体" w:cs="黑体"/>
          <w:color w:val="000000"/>
          <w:kern w:val="0"/>
          <w:sz w:val="32"/>
          <w:szCs w:val="32"/>
          <w:shd w:val="clear" w:fill="FFFFFF"/>
          <w:lang w:val="en-US" w:eastAsia="zh-CN" w:bidi="ar"/>
        </w:rPr>
        <w:t>二、主动公开政府信息情况</w:t>
      </w:r>
    </w:p>
    <w:tbl>
      <w:tblPr>
        <w:tblW w:w="14970" w:type="dxa"/>
        <w:tblInd w:w="10" w:type="dxa"/>
        <w:shd w:val="clear"/>
        <w:tblLayout w:type="autofit"/>
        <w:tblCellMar>
          <w:top w:w="0" w:type="dxa"/>
          <w:left w:w="0" w:type="dxa"/>
          <w:bottom w:w="0" w:type="dxa"/>
          <w:right w:w="0" w:type="dxa"/>
        </w:tblCellMar>
      </w:tblPr>
      <w:tblGrid>
        <w:gridCol w:w="4617"/>
        <w:gridCol w:w="3750"/>
        <w:gridCol w:w="2941"/>
        <w:gridCol w:w="3662"/>
      </w:tblGrid>
      <w:tr>
        <w:tblPrEx>
          <w:shd w:val="clear"/>
          <w:tblCellMar>
            <w:top w:w="0" w:type="dxa"/>
            <w:left w:w="0" w:type="dxa"/>
            <w:bottom w:w="0" w:type="dxa"/>
            <w:right w:w="0" w:type="dxa"/>
          </w:tblCellMar>
        </w:tblPrEx>
        <w:trPr>
          <w:trHeight w:val="349" w:hRule="atLeast"/>
        </w:trPr>
        <w:tc>
          <w:tcPr>
            <w:tcW w:w="14970" w:type="dxa"/>
            <w:gridSpan w:val="4"/>
            <w:tcBorders>
              <w:top w:val="outset" w:color="000000" w:sz="8" w:space="0"/>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第二十条第（一）项</w:t>
            </w:r>
          </w:p>
        </w:tc>
      </w:tr>
      <w:tr>
        <w:tblPrEx>
          <w:tblCellMar>
            <w:top w:w="0" w:type="dxa"/>
            <w:left w:w="0" w:type="dxa"/>
            <w:bottom w:w="0" w:type="dxa"/>
            <w:right w:w="0" w:type="dxa"/>
          </w:tblCellMar>
        </w:tblPrEx>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本年新制作数量</w:t>
            </w:r>
          </w:p>
        </w:tc>
        <w:tc>
          <w:tcPr>
            <w:tcW w:w="294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本年新公开数量</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对外公开总数量</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规章</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94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规范性文件</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w:t>
            </w:r>
          </w:p>
        </w:tc>
        <w:tc>
          <w:tcPr>
            <w:tcW w:w="294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w:t>
            </w:r>
          </w:p>
        </w:tc>
      </w:tr>
      <w:tr>
        <w:trPr>
          <w:trHeight w:val="23" w:hRule="atLeast"/>
        </w:trPr>
        <w:tc>
          <w:tcPr>
            <w:tcW w:w="1497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第二十条第（五）项</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上一年项目数量</w:t>
            </w:r>
          </w:p>
        </w:tc>
        <w:tc>
          <w:tcPr>
            <w:tcW w:w="294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本年增/减</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处理决定数量</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行政许可</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15</w:t>
            </w:r>
          </w:p>
        </w:tc>
        <w:tc>
          <w:tcPr>
            <w:tcW w:w="2941"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466</w:t>
            </w:r>
          </w:p>
        </w:tc>
      </w:tr>
      <w:tr>
        <w:tblPrEx>
          <w:tblCellMar>
            <w:top w:w="0" w:type="dxa"/>
            <w:left w:w="0" w:type="dxa"/>
            <w:bottom w:w="0" w:type="dxa"/>
            <w:right w:w="0" w:type="dxa"/>
          </w:tblCellMar>
        </w:tblPrEx>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其他对外管理服务事项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941"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rPr>
          <w:trHeight w:val="23" w:hRule="atLeast"/>
        </w:trPr>
        <w:tc>
          <w:tcPr>
            <w:tcW w:w="1497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第二十条第（六）项</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上一年项目数量</w:t>
            </w:r>
          </w:p>
        </w:tc>
        <w:tc>
          <w:tcPr>
            <w:tcW w:w="294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本年增/减</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处理决定数量</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行政处罚</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941"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行政强制</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941"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3662"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rPr>
          <w:trHeight w:val="23" w:hRule="atLeast"/>
        </w:trPr>
        <w:tc>
          <w:tcPr>
            <w:tcW w:w="1497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第二十条第（八）项</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上一年项目数量</w:t>
            </w:r>
          </w:p>
        </w:tc>
        <w:tc>
          <w:tcPr>
            <w:tcW w:w="6603"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本年增/减</w:t>
            </w:r>
          </w:p>
        </w:tc>
      </w:tr>
      <w:tr>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行政事业性收费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6603"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trHeight w:val="23" w:hRule="atLeast"/>
        </w:trPr>
        <w:tc>
          <w:tcPr>
            <w:tcW w:w="1497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第二十条第（九）项</w:t>
            </w:r>
          </w:p>
        </w:tc>
      </w:tr>
      <w:tr>
        <w:tblPrEx>
          <w:tblCellMar>
            <w:top w:w="0" w:type="dxa"/>
            <w:left w:w="0" w:type="dxa"/>
            <w:bottom w:w="0" w:type="dxa"/>
            <w:right w:w="0" w:type="dxa"/>
          </w:tblCellMar>
        </w:tblPrEx>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采购项目数量</w:t>
            </w:r>
          </w:p>
        </w:tc>
        <w:tc>
          <w:tcPr>
            <w:tcW w:w="6603"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采购总金额</w:t>
            </w:r>
          </w:p>
        </w:tc>
      </w:tr>
      <w:tr>
        <w:tblPrEx>
          <w:tblCellMar>
            <w:top w:w="0" w:type="dxa"/>
            <w:left w:w="0" w:type="dxa"/>
            <w:bottom w:w="0" w:type="dxa"/>
            <w:right w:w="0" w:type="dxa"/>
          </w:tblCellMar>
        </w:tblPrEx>
        <w:trPr>
          <w:trHeight w:val="23" w:hRule="atLeast"/>
        </w:trPr>
        <w:tc>
          <w:tcPr>
            <w:tcW w:w="4617"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政府集中采购</w:t>
            </w:r>
          </w:p>
        </w:tc>
        <w:tc>
          <w:tcPr>
            <w:tcW w:w="37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3</w:t>
            </w:r>
          </w:p>
        </w:tc>
        <w:tc>
          <w:tcPr>
            <w:tcW w:w="6603"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245080元</w:t>
            </w:r>
          </w:p>
        </w:tc>
      </w:tr>
    </w:tbl>
    <w:p>
      <w:pPr>
        <w:keepNext w:val="0"/>
        <w:keepLines w:val="0"/>
        <w:widowControl/>
        <w:suppressLineNumbers w:val="0"/>
        <w:shd w:val="clear" w:fill="FFFFFF"/>
        <w:snapToGrid w:val="0"/>
        <w:spacing w:before="0" w:beforeAutospacing="0" w:after="0" w:afterAutospacing="0" w:line="600" w:lineRule="atLeast"/>
        <w:ind w:left="0" w:right="0" w:firstLine="640" w:firstLineChars="200"/>
        <w:jc w:val="left"/>
      </w:pPr>
      <w:r>
        <w:rPr>
          <w:rFonts w:hint="eastAsia" w:ascii="黑体" w:hAnsi="宋体" w:eastAsia="黑体" w:cs="黑体"/>
          <w:color w:val="555555"/>
          <w:kern w:val="0"/>
          <w:sz w:val="32"/>
          <w:szCs w:val="32"/>
          <w:shd w:val="clear" w:fill="FFFFFF"/>
          <w:lang w:val="en-US" w:eastAsia="zh-CN" w:bidi="ar"/>
        </w:rPr>
        <w:t>三、收到和处理政府信息公开申请情况</w:t>
      </w:r>
    </w:p>
    <w:tbl>
      <w:tblPr>
        <w:tblW w:w="14130" w:type="dxa"/>
        <w:jc w:val="center"/>
        <w:shd w:val="clear"/>
        <w:tblLayout w:type="fixed"/>
        <w:tblCellMar>
          <w:top w:w="0" w:type="dxa"/>
          <w:left w:w="0" w:type="dxa"/>
          <w:bottom w:w="0" w:type="dxa"/>
          <w:right w:w="0" w:type="dxa"/>
        </w:tblCellMar>
      </w:tblPr>
      <w:tblGrid>
        <w:gridCol w:w="1132"/>
        <w:gridCol w:w="1683"/>
        <w:gridCol w:w="3319"/>
        <w:gridCol w:w="1214"/>
        <w:gridCol w:w="939"/>
        <w:gridCol w:w="1149"/>
        <w:gridCol w:w="1230"/>
        <w:gridCol w:w="1255"/>
        <w:gridCol w:w="1137"/>
        <w:gridCol w:w="1066"/>
      </w:tblGrid>
      <w:tr>
        <w:tblPrEx>
          <w:shd w:val="clear"/>
          <w:tblCellMar>
            <w:top w:w="0" w:type="dxa"/>
            <w:left w:w="0" w:type="dxa"/>
            <w:bottom w:w="0" w:type="dxa"/>
            <w:right w:w="0" w:type="dxa"/>
          </w:tblCellMar>
        </w:tblPrEx>
        <w:trPr>
          <w:trHeight w:val="349" w:hRule="atLeast"/>
          <w:jc w:val="center"/>
        </w:trPr>
        <w:tc>
          <w:tcPr>
            <w:tcW w:w="6137" w:type="dxa"/>
            <w:gridSpan w:val="3"/>
            <w:vMerge w:val="restart"/>
            <w:tcBorders>
              <w:top w:val="outset" w:color="000000" w:sz="8" w:space="0"/>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（本列数据的勾稽关系为：第一项加第二项之和，等于第三项加第四项之和）</w:t>
            </w:r>
          </w:p>
        </w:tc>
        <w:tc>
          <w:tcPr>
            <w:tcW w:w="7997" w:type="dxa"/>
            <w:gridSpan w:val="7"/>
            <w:tcBorders>
              <w:top w:val="outset" w:color="000000" w:sz="8" w:space="0"/>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申请人情况</w:t>
            </w:r>
          </w:p>
        </w:tc>
      </w:tr>
      <w:tr>
        <w:tblPrEx>
          <w:tblCellMar>
            <w:top w:w="0" w:type="dxa"/>
            <w:left w:w="0" w:type="dxa"/>
            <w:bottom w:w="0" w:type="dxa"/>
            <w:right w:w="0" w:type="dxa"/>
          </w:tblCellMar>
        </w:tblPrEx>
        <w:trPr>
          <w:trHeight w:val="309" w:hRule="atLeast"/>
          <w:jc w:val="center"/>
        </w:trPr>
        <w:tc>
          <w:tcPr>
            <w:tcW w:w="6137" w:type="dxa"/>
            <w:gridSpan w:val="3"/>
            <w:vMerge w:val="continue"/>
            <w:tcBorders>
              <w:top w:val="outset" w:color="000000" w:sz="8" w:space="0"/>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21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自然人</w:t>
            </w:r>
          </w:p>
        </w:tc>
        <w:tc>
          <w:tcPr>
            <w:tcW w:w="5715" w:type="dxa"/>
            <w:gridSpan w:val="5"/>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法人或其他组织</w:t>
            </w:r>
          </w:p>
        </w:tc>
        <w:tc>
          <w:tcPr>
            <w:tcW w:w="1067"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color w:val="555555"/>
                <w:kern w:val="0"/>
                <w:sz w:val="32"/>
                <w:szCs w:val="32"/>
                <w:bdr w:val="none" w:color="auto" w:sz="0" w:space="0"/>
                <w:lang w:val="en-US" w:eastAsia="zh-CN" w:bidi="ar"/>
              </w:rPr>
              <w:t>总计</w:t>
            </w:r>
          </w:p>
        </w:tc>
      </w:tr>
      <w:tr>
        <w:tblPrEx>
          <w:tblCellMar>
            <w:top w:w="0" w:type="dxa"/>
            <w:left w:w="0" w:type="dxa"/>
            <w:bottom w:w="0" w:type="dxa"/>
            <w:right w:w="0" w:type="dxa"/>
          </w:tblCellMar>
        </w:tblPrEx>
        <w:trPr>
          <w:trHeight w:val="1068" w:hRule="atLeast"/>
          <w:jc w:val="center"/>
        </w:trPr>
        <w:tc>
          <w:tcPr>
            <w:tcW w:w="6137" w:type="dxa"/>
            <w:gridSpan w:val="3"/>
            <w:vMerge w:val="continue"/>
            <w:tcBorders>
              <w:top w:val="outset" w:color="000000" w:sz="8" w:space="0"/>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21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商业企业</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科研机构</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社会公益组织</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法律服务机构</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w:t>
            </w:r>
          </w:p>
        </w:tc>
        <w:tc>
          <w:tcPr>
            <w:tcW w:w="1067"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r>
      <w:tr>
        <w:tblPrEx>
          <w:tblCellMar>
            <w:top w:w="0" w:type="dxa"/>
            <w:left w:w="0" w:type="dxa"/>
            <w:bottom w:w="0" w:type="dxa"/>
            <w:right w:w="0" w:type="dxa"/>
          </w:tblCellMar>
        </w:tblPrEx>
        <w:trPr>
          <w:jc w:val="center"/>
        </w:trPr>
        <w:tc>
          <w:tcPr>
            <w:tcW w:w="6137" w:type="dxa"/>
            <w:gridSpan w:val="3"/>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一、本年新收政府信息公开申请数量</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6137" w:type="dxa"/>
            <w:gridSpan w:val="3"/>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二、上年结转政府信息公开申请数量</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restart"/>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三、本年度办理结果</w:t>
            </w:r>
          </w:p>
        </w:tc>
        <w:tc>
          <w:tcPr>
            <w:tcW w:w="5004"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（一）予以公开</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004"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（二）部分公开（区分处理的，只计这一情形，不计其他情形）</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（三）不予公开</w:t>
            </w: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1.属于国家秘密</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2.其他法律行政法规禁止公开</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3.危及“三安全一稳定”</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4.保护第三方合法权益</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5.属于三类内部事务信息</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6.属于四类过程性信息</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7.属于行政执法案卷</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8.属于行政查询事项</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（四）无法提供</w:t>
            </w: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1.本机关不掌握相关政府信息</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 xml:space="preserve">0 </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2.没有现成信息需要另行制作</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3.补正后申请内容仍不明确</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（五）不予处理</w:t>
            </w: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1.信访举报投诉类申请</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2.重复申请</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3.要求提供公开出版物</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4.无正当理由大量反复申请</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684"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332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5.要求行政机关确认或重新出具已获取信息</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004"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（六）其他处理</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1133"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004"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（七）总计</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6137" w:type="dxa"/>
            <w:gridSpan w:val="3"/>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四、结转下年度继续办理</w:t>
            </w:r>
          </w:p>
        </w:tc>
        <w:tc>
          <w:tcPr>
            <w:tcW w:w="121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94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31"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256"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13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06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bl>
    <w:p>
      <w:pPr>
        <w:keepNext w:val="0"/>
        <w:keepLines w:val="0"/>
        <w:widowControl/>
        <w:suppressLineNumbers w:val="0"/>
        <w:shd w:val="clear" w:fill="FFFFFF"/>
        <w:snapToGrid w:val="0"/>
        <w:spacing w:before="0" w:beforeAutospacing="0" w:after="0" w:afterAutospacing="0" w:line="600" w:lineRule="atLeast"/>
        <w:ind w:left="0" w:right="0"/>
        <w:jc w:val="left"/>
      </w:pPr>
      <w:r>
        <w:rPr>
          <w:rFonts w:hint="eastAsia" w:ascii="黑体" w:hAnsi="宋体" w:eastAsia="黑体" w:cs="黑体"/>
          <w:color w:val="555555"/>
          <w:kern w:val="0"/>
          <w:sz w:val="32"/>
          <w:szCs w:val="32"/>
          <w:shd w:val="clear" w:fill="FFFFFF"/>
          <w:lang w:val="en-US" w:eastAsia="zh-CN" w:bidi="ar"/>
        </w:rPr>
        <w:t> </w:t>
      </w:r>
    </w:p>
    <w:p>
      <w:pPr>
        <w:keepNext w:val="0"/>
        <w:keepLines w:val="0"/>
        <w:widowControl/>
        <w:suppressLineNumbers w:val="0"/>
        <w:shd w:val="clear" w:fill="FFFFFF"/>
        <w:snapToGrid w:val="0"/>
        <w:spacing w:before="0" w:beforeAutospacing="0" w:after="0" w:afterAutospacing="0" w:line="600" w:lineRule="atLeast"/>
        <w:ind w:left="0" w:right="0" w:firstLine="640" w:firstLineChars="200"/>
        <w:jc w:val="left"/>
      </w:pPr>
      <w:r>
        <w:rPr>
          <w:rFonts w:hint="eastAsia" w:ascii="黑体" w:hAnsi="宋体" w:eastAsia="黑体" w:cs="黑体"/>
          <w:color w:val="555555"/>
          <w:kern w:val="0"/>
          <w:sz w:val="32"/>
          <w:szCs w:val="32"/>
          <w:shd w:val="clear" w:fill="FFFFFF"/>
          <w:lang w:val="en-US" w:eastAsia="zh-CN" w:bidi="ar"/>
        </w:rPr>
        <w:t>四、政府信息公开行政复议、行政诉讼情况</w:t>
      </w:r>
    </w:p>
    <w:tbl>
      <w:tblPr>
        <w:tblW w:w="14835" w:type="dxa"/>
        <w:jc w:val="center"/>
        <w:shd w:val="clear"/>
        <w:tblLayout w:type="autofit"/>
        <w:tblCellMar>
          <w:top w:w="0" w:type="dxa"/>
          <w:left w:w="0" w:type="dxa"/>
          <w:bottom w:w="0" w:type="dxa"/>
          <w:right w:w="0" w:type="dxa"/>
        </w:tblCellMar>
      </w:tblPr>
      <w:tblGrid>
        <w:gridCol w:w="967"/>
        <w:gridCol w:w="967"/>
        <w:gridCol w:w="967"/>
        <w:gridCol w:w="967"/>
        <w:gridCol w:w="1075"/>
        <w:gridCol w:w="967"/>
        <w:gridCol w:w="967"/>
        <w:gridCol w:w="967"/>
        <w:gridCol w:w="967"/>
        <w:gridCol w:w="1076"/>
        <w:gridCol w:w="968"/>
        <w:gridCol w:w="968"/>
        <w:gridCol w:w="968"/>
        <w:gridCol w:w="968"/>
        <w:gridCol w:w="1076"/>
      </w:tblGrid>
      <w:tr>
        <w:tblPrEx>
          <w:shd w:val="clear"/>
        </w:tblPrEx>
        <w:trPr>
          <w:jc w:val="center"/>
        </w:trPr>
        <w:tc>
          <w:tcPr>
            <w:tcW w:w="2837" w:type="dxa"/>
            <w:gridSpan w:val="5"/>
            <w:tcBorders>
              <w:top w:val="outset" w:color="000000" w:sz="8" w:space="0"/>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firstLine="640"/>
              <w:jc w:val="center"/>
            </w:pPr>
            <w:r>
              <w:rPr>
                <w:rFonts w:hint="eastAsia" w:ascii="仿宋_GB2312" w:hAnsi="仿宋_GB2312" w:eastAsia="仿宋_GB2312" w:cs="仿宋_GB2312"/>
                <w:color w:val="555555"/>
                <w:kern w:val="0"/>
                <w:sz w:val="32"/>
                <w:szCs w:val="32"/>
                <w:bdr w:val="none" w:color="auto" w:sz="0" w:space="0"/>
                <w:lang w:val="en-US" w:eastAsia="zh-CN" w:bidi="ar"/>
              </w:rPr>
              <w:t>行政复议</w:t>
            </w:r>
          </w:p>
        </w:tc>
        <w:tc>
          <w:tcPr>
            <w:tcW w:w="5674" w:type="dxa"/>
            <w:gridSpan w:val="10"/>
            <w:tcBorders>
              <w:top w:val="outset" w:color="000000" w:sz="8" w:space="0"/>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firstLine="640"/>
              <w:jc w:val="center"/>
            </w:pPr>
            <w:r>
              <w:rPr>
                <w:rFonts w:hint="eastAsia" w:ascii="仿宋_GB2312" w:hAnsi="仿宋_GB2312" w:eastAsia="仿宋_GB2312" w:cs="仿宋_GB2312"/>
                <w:color w:val="555555"/>
                <w:kern w:val="0"/>
                <w:sz w:val="32"/>
                <w:szCs w:val="32"/>
                <w:bdr w:val="none" w:color="auto" w:sz="0" w:space="0"/>
                <w:lang w:val="en-US" w:eastAsia="zh-CN" w:bidi="ar"/>
              </w:rPr>
              <w:t>行政诉讼</w:t>
            </w:r>
          </w:p>
        </w:tc>
      </w:tr>
      <w:tr>
        <w:trPr>
          <w:jc w:val="center"/>
        </w:trPr>
        <w:tc>
          <w:tcPr>
            <w:tcW w:w="555" w:type="dxa"/>
            <w:vMerge w:val="restart"/>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结果维持</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结果纠正</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其他结果</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尚未审结</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总计</w:t>
            </w:r>
          </w:p>
        </w:tc>
        <w:tc>
          <w:tcPr>
            <w:tcW w:w="2837" w:type="dxa"/>
            <w:gridSpan w:val="5"/>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firstLine="640"/>
              <w:jc w:val="center"/>
            </w:pPr>
            <w:r>
              <w:rPr>
                <w:rFonts w:hint="eastAsia" w:ascii="仿宋_GB2312" w:hAnsi="仿宋_GB2312" w:eastAsia="仿宋_GB2312" w:cs="仿宋_GB2312"/>
                <w:color w:val="555555"/>
                <w:kern w:val="0"/>
                <w:sz w:val="32"/>
                <w:szCs w:val="32"/>
                <w:bdr w:val="none" w:color="auto" w:sz="0" w:space="0"/>
                <w:lang w:val="en-US" w:eastAsia="zh-CN" w:bidi="ar"/>
              </w:rPr>
              <w:t>未经复议直接起诉</w:t>
            </w:r>
          </w:p>
        </w:tc>
        <w:tc>
          <w:tcPr>
            <w:tcW w:w="2837" w:type="dxa"/>
            <w:gridSpan w:val="5"/>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firstLine="640"/>
              <w:jc w:val="center"/>
            </w:pPr>
            <w:r>
              <w:rPr>
                <w:rFonts w:hint="eastAsia" w:ascii="仿宋_GB2312" w:hAnsi="仿宋_GB2312" w:eastAsia="仿宋_GB2312" w:cs="仿宋_GB2312"/>
                <w:color w:val="555555"/>
                <w:kern w:val="0"/>
                <w:sz w:val="32"/>
                <w:szCs w:val="32"/>
                <w:bdr w:val="none" w:color="auto" w:sz="0" w:space="0"/>
                <w:lang w:val="en-US" w:eastAsia="zh-CN" w:bidi="ar"/>
              </w:rPr>
              <w:t>复议后起诉</w:t>
            </w:r>
          </w:p>
        </w:tc>
      </w:tr>
      <w:tr>
        <w:tblPrEx>
          <w:tblCellMar>
            <w:top w:w="0" w:type="dxa"/>
            <w:left w:w="0" w:type="dxa"/>
            <w:bottom w:w="0" w:type="dxa"/>
            <w:right w:w="0" w:type="dxa"/>
          </w:tblCellMar>
        </w:tblPrEx>
        <w:trPr>
          <w:jc w:val="center"/>
        </w:trPr>
        <w:tc>
          <w:tcPr>
            <w:tcW w:w="555"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结果维持</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结果纠正</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其他结果</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尚未审结</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总计</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结果维持</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结果纠正</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其他结果</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尚未审结</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总计</w:t>
            </w:r>
          </w:p>
        </w:tc>
      </w:tr>
      <w:tr>
        <w:tblPrEx>
          <w:tblCellMar>
            <w:top w:w="0" w:type="dxa"/>
            <w:left w:w="0" w:type="dxa"/>
            <w:bottom w:w="0" w:type="dxa"/>
            <w:right w:w="0" w:type="dxa"/>
          </w:tblCellMar>
        </w:tblPrEx>
        <w:trPr>
          <w:jc w:val="center"/>
        </w:trPr>
        <w:tc>
          <w:tcPr>
            <w:tcW w:w="555" w:type="dxa"/>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仿宋_GB2312" w:hAnsi="仿宋_GB2312" w:eastAsia="仿宋_GB2312" w:cs="仿宋_GB2312"/>
                <w:color w:val="555555"/>
                <w:kern w:val="0"/>
                <w:sz w:val="32"/>
                <w:szCs w:val="32"/>
                <w:bdr w:val="none" w:color="auto" w:sz="0" w:space="0"/>
                <w:lang w:val="en-US" w:eastAsia="zh-CN" w:bidi="ar"/>
              </w:rPr>
              <w:t>0</w:t>
            </w:r>
          </w:p>
        </w:tc>
      </w:tr>
    </w:tbl>
    <w:p>
      <w:pPr>
        <w:keepNext w:val="0"/>
        <w:keepLines w:val="0"/>
        <w:widowControl/>
        <w:suppressLineNumbers w:val="0"/>
        <w:shd w:val="clear" w:fill="FFFFFF"/>
        <w:snapToGrid w:val="0"/>
        <w:spacing w:before="0" w:beforeAutospacing="0" w:after="0" w:afterAutospacing="0" w:line="600" w:lineRule="atLeast"/>
        <w:ind w:left="0" w:right="0" w:firstLine="640"/>
        <w:jc w:val="left"/>
      </w:pPr>
      <w:r>
        <w:rPr>
          <w:rFonts w:hint="eastAsia" w:ascii="仿宋_GB2312" w:hAnsi="仿宋_GB2312" w:eastAsia="仿宋_GB2312" w:cs="仿宋_GB2312"/>
          <w:color w:val="000000"/>
          <w:kern w:val="0"/>
          <w:sz w:val="32"/>
          <w:szCs w:val="32"/>
          <w:shd w:val="clear" w:fill="FFFFFF"/>
          <w:lang w:val="en-US" w:eastAsia="zh-CN" w:bidi="ar"/>
        </w:rPr>
        <w:t> </w:t>
      </w:r>
    </w:p>
    <w:p>
      <w:pPr>
        <w:spacing w:before="0" w:beforeAutospacing="0" w:after="0" w:afterAutospacing="0"/>
        <w:ind w:firstLine="0"/>
        <w:rPr>
          <w:rFonts w:hint="eastAsia" w:ascii="仿宋_GB2312" w:hAnsi="仿宋_GB2312" w:eastAsia="仿宋_GB2312" w:cs="仿宋_GB2312"/>
          <w:color w:val="000000"/>
          <w:sz w:val="32"/>
          <w:szCs w:val="32"/>
          <w:shd w:val="clear" w:fill="FFFFFF"/>
          <w:lang w:val="en-US" w:eastAsia="zh-CN" w:bidi="ar"/>
        </w:rPr>
        <w:sectPr>
          <w:pgSz w:w="12242" w:h="15842"/>
          <w:pgMar w:top="1" w:right="1800" w:bottom="1" w:left="1800" w:header="851" w:footer="992" w:gutter="0"/>
          <w:cols w:space="425" w:num="1"/>
          <w:docGrid w:type="lines" w:linePitch="312" w:charSpace="0"/>
        </w:sectPr>
      </w:pPr>
    </w:p>
    <w:p>
      <w:pPr>
        <w:keepNext w:val="0"/>
        <w:keepLines w:val="0"/>
        <w:widowControl/>
        <w:suppressLineNumbers w:val="0"/>
        <w:shd w:val="clear" w:fill="FFFFFF"/>
        <w:spacing w:beforeAutospacing="1" w:afterAutospacing="1" w:line="560" w:lineRule="exact"/>
        <w:ind w:left="0" w:right="0" w:firstLine="640" w:firstLineChars="200"/>
        <w:jc w:val="left"/>
      </w:pPr>
      <w:r>
        <w:rPr>
          <w:rFonts w:hint="eastAsia" w:ascii="黑体" w:hAnsi="宋体" w:eastAsia="黑体" w:cs="黑体"/>
          <w:color w:val="000000"/>
          <w:kern w:val="0"/>
          <w:sz w:val="32"/>
          <w:szCs w:val="32"/>
          <w:shd w:val="clear" w:fill="FFFFFF"/>
          <w:lang w:val="en-US" w:eastAsia="zh-CN" w:bidi="ar"/>
        </w:rPr>
        <w:t>五、存在的主要问题及改进情况</w:t>
      </w:r>
    </w:p>
    <w:p>
      <w:pPr>
        <w:keepNext w:val="0"/>
        <w:keepLines w:val="0"/>
        <w:widowControl/>
        <w:suppressLineNumbers w:val="0"/>
        <w:shd w:val="clear" w:fill="FFFFFF"/>
        <w:spacing w:beforeAutospacing="1" w:afterAutospacing="1" w:line="560" w:lineRule="exact"/>
        <w:ind w:left="0" w:right="0" w:firstLine="643" w:firstLineChars="200"/>
        <w:jc w:val="left"/>
      </w:pPr>
      <w:r>
        <w:rPr>
          <w:rFonts w:hint="eastAsia" w:ascii="楷体" w:hAnsi="楷体" w:eastAsia="楷体" w:cs="楷体"/>
          <w:b/>
          <w:bCs/>
          <w:color w:val="000000"/>
          <w:kern w:val="0"/>
          <w:sz w:val="32"/>
          <w:szCs w:val="32"/>
          <w:shd w:val="clear" w:fill="FFFFFF"/>
          <w:lang w:val="en-US" w:eastAsia="zh-CN" w:bidi="ar"/>
        </w:rPr>
        <w:t>（一）主要问题</w:t>
      </w:r>
    </w:p>
    <w:p>
      <w:pPr>
        <w:keepNext w:val="0"/>
        <w:keepLines w:val="0"/>
        <w:widowControl/>
        <w:suppressLineNumbers w:val="0"/>
        <w:shd w:val="clear" w:fill="FFFFFF"/>
        <w:spacing w:beforeAutospacing="1" w:afterAutospacing="1" w:line="560" w:lineRule="exact"/>
        <w:ind w:left="0" w:right="0" w:firstLine="640" w:firstLineChars="200"/>
        <w:jc w:val="left"/>
      </w:pPr>
      <w:r>
        <w:rPr>
          <w:rFonts w:hint="eastAsia" w:ascii="仿宋_GB2312" w:hAnsi="仿宋_GB2312" w:eastAsia="仿宋_GB2312" w:cs="仿宋_GB2312"/>
          <w:color w:val="000000"/>
          <w:kern w:val="0"/>
          <w:sz w:val="32"/>
          <w:szCs w:val="32"/>
          <w:shd w:val="clear" w:fill="FFFFFF"/>
          <w:lang w:val="en-US" w:eastAsia="zh-CN" w:bidi="ar"/>
        </w:rPr>
        <w:t>一是</w:t>
      </w:r>
      <w:r>
        <w:rPr>
          <w:rFonts w:hint="eastAsia" w:ascii="仿宋_GB2312" w:hAnsi="宋体" w:eastAsia="仿宋_GB2312" w:cs="仿宋_GB2312"/>
          <w:color w:val="333333"/>
          <w:kern w:val="0"/>
          <w:sz w:val="31"/>
          <w:szCs w:val="31"/>
          <w:shd w:val="clear" w:fill="FFFFFF"/>
          <w:lang w:val="en-US" w:eastAsia="zh-CN" w:bidi="ar"/>
        </w:rPr>
        <w:t>公开范围与内容不够全面，</w:t>
      </w:r>
      <w:r>
        <w:rPr>
          <w:rFonts w:hint="eastAsia" w:ascii="仿宋_GB2312" w:hAnsi="仿宋_GB2312" w:eastAsia="仿宋_GB2312" w:cs="仿宋_GB2312"/>
          <w:color w:val="000000"/>
          <w:kern w:val="0"/>
          <w:sz w:val="32"/>
          <w:szCs w:val="32"/>
          <w:shd w:val="clear" w:fill="FFFFFF"/>
          <w:lang w:val="en-US" w:eastAsia="zh-CN" w:bidi="ar"/>
        </w:rPr>
        <w:t>主动公开的深度还有待进一步加强</w:t>
      </w:r>
      <w:r>
        <w:rPr>
          <w:rFonts w:hint="eastAsia" w:ascii="仿宋_GB2312" w:hAnsi="宋体" w:eastAsia="仿宋_GB2312" w:cs="仿宋_GB2312"/>
          <w:color w:val="333333"/>
          <w:kern w:val="0"/>
          <w:sz w:val="31"/>
          <w:szCs w:val="31"/>
          <w:shd w:val="clear" w:fill="FFFFFF"/>
          <w:lang w:val="en-US" w:eastAsia="zh-CN" w:bidi="ar"/>
        </w:rPr>
        <w:t>；二是</w:t>
      </w:r>
      <w:r>
        <w:rPr>
          <w:rFonts w:hint="eastAsia" w:ascii="仿宋_GB2312" w:hAnsi="仿宋_GB2312" w:eastAsia="仿宋_GB2312" w:cs="仿宋_GB2312"/>
          <w:color w:val="000000"/>
          <w:kern w:val="0"/>
          <w:sz w:val="32"/>
          <w:szCs w:val="32"/>
          <w:shd w:val="clear" w:fill="FFFFFF"/>
          <w:lang w:val="en-US" w:eastAsia="zh-CN" w:bidi="ar"/>
        </w:rPr>
        <w:t>信息公开宣传还不够生动和丰富；三是公众参与度不够高。</w:t>
      </w:r>
    </w:p>
    <w:p>
      <w:pPr>
        <w:keepNext w:val="0"/>
        <w:keepLines w:val="0"/>
        <w:widowControl/>
        <w:suppressLineNumbers w:val="0"/>
        <w:shd w:val="clear" w:fill="FFFFFF"/>
        <w:spacing w:beforeAutospacing="1" w:afterAutospacing="1" w:line="560" w:lineRule="exact"/>
        <w:ind w:left="0" w:right="0" w:firstLine="643" w:firstLineChars="200"/>
        <w:jc w:val="left"/>
      </w:pPr>
      <w:r>
        <w:rPr>
          <w:rFonts w:hint="eastAsia" w:ascii="楷体" w:hAnsi="楷体" w:eastAsia="楷体" w:cs="楷体"/>
          <w:b/>
          <w:bCs/>
          <w:color w:val="000000"/>
          <w:kern w:val="0"/>
          <w:sz w:val="32"/>
          <w:szCs w:val="32"/>
          <w:shd w:val="clear" w:fill="FFFFFF"/>
          <w:lang w:val="en-US" w:eastAsia="zh-CN" w:bidi="ar"/>
        </w:rPr>
        <w:t>（二）改进措施</w:t>
      </w:r>
    </w:p>
    <w:p>
      <w:pPr>
        <w:pStyle w:val="2"/>
        <w:keepNext w:val="0"/>
        <w:keepLines w:val="0"/>
        <w:widowControl/>
        <w:suppressLineNumbers w:val="0"/>
        <w:shd w:val="clear" w:fill="FFFFFF"/>
        <w:spacing w:before="0" w:beforeAutospacing="0" w:after="0" w:afterAutospacing="0" w:line="560" w:lineRule="exact"/>
        <w:ind w:left="0" w:right="0" w:firstLine="620" w:firstLineChars="200"/>
        <w:rPr>
          <w:rFonts w:hint="eastAsia" w:ascii="宋体" w:hAnsi="宋体" w:eastAsia="宋体" w:cs="宋体"/>
          <w:sz w:val="24"/>
          <w:szCs w:val="24"/>
        </w:rPr>
      </w:pPr>
      <w:r>
        <w:rPr>
          <w:rFonts w:hint="eastAsia" w:ascii="仿宋_GB2312" w:hAnsi="sinsum" w:eastAsia="仿宋_GB2312" w:cs="仿宋_GB2312"/>
          <w:color w:val="333333"/>
          <w:sz w:val="31"/>
          <w:szCs w:val="31"/>
          <w:shd w:val="clear" w:fill="FFFFFF"/>
          <w:lang w:val="en-US"/>
        </w:rPr>
        <w:t>1.</w:t>
      </w:r>
      <w:r>
        <w:rPr>
          <w:rFonts w:hint="eastAsia" w:ascii="仿宋_GB2312" w:hAnsi="sinsum" w:eastAsia="仿宋_GB2312" w:cs="仿宋_GB2312"/>
          <w:color w:val="333333"/>
          <w:sz w:val="31"/>
          <w:szCs w:val="31"/>
          <w:shd w:val="clear" w:fill="FFFFFF"/>
        </w:rPr>
        <w:t>进一步扩大公开范围与内容，</w:t>
      </w:r>
      <w:r>
        <w:rPr>
          <w:rFonts w:hint="eastAsia" w:ascii="仿宋_GB2312" w:hAnsi="仿宋_GB2312" w:eastAsia="仿宋_GB2312" w:cs="仿宋_GB2312"/>
          <w:color w:val="000000"/>
          <w:sz w:val="32"/>
          <w:szCs w:val="32"/>
          <w:shd w:val="clear" w:fill="FFFFFF"/>
          <w:lang w:bidi="ar"/>
        </w:rPr>
        <w:t>加强</w:t>
      </w:r>
      <w:r>
        <w:rPr>
          <w:rFonts w:hint="eastAsia" w:ascii="仿宋_GB2312" w:hAnsi="sinsum" w:eastAsia="仿宋_GB2312" w:cs="仿宋_GB2312"/>
          <w:color w:val="333333"/>
          <w:sz w:val="31"/>
          <w:szCs w:val="31"/>
          <w:shd w:val="clear" w:fill="FFFFFF"/>
        </w:rPr>
        <w:t>有关工作人员的</w:t>
      </w:r>
      <w:r>
        <w:rPr>
          <w:rFonts w:hint="eastAsia" w:ascii="仿宋_GB2312" w:hAnsi="仿宋_GB2312" w:eastAsia="仿宋_GB2312" w:cs="仿宋_GB2312"/>
          <w:color w:val="000000"/>
          <w:sz w:val="32"/>
          <w:szCs w:val="32"/>
          <w:shd w:val="clear" w:fill="FFFFFF"/>
          <w:lang w:bidi="ar"/>
        </w:rPr>
        <w:t>学习和</w:t>
      </w:r>
      <w:r>
        <w:rPr>
          <w:rFonts w:hint="eastAsia" w:ascii="仿宋_GB2312" w:hAnsi="sinsum" w:eastAsia="仿宋_GB2312" w:cs="仿宋_GB2312"/>
          <w:color w:val="333333"/>
          <w:sz w:val="31"/>
          <w:szCs w:val="31"/>
          <w:shd w:val="clear" w:fill="FFFFFF"/>
        </w:rPr>
        <w:t>培训工作</w:t>
      </w:r>
      <w:r>
        <w:rPr>
          <w:rFonts w:hint="eastAsia" w:ascii="仿宋_GB2312" w:hAnsi="仿宋_GB2312" w:eastAsia="仿宋_GB2312" w:cs="仿宋_GB2312"/>
          <w:color w:val="000000"/>
          <w:sz w:val="32"/>
          <w:szCs w:val="32"/>
          <w:shd w:val="clear" w:fill="FFFFFF"/>
          <w:lang w:bidi="ar"/>
        </w:rPr>
        <w:t>，进一步提高工作人员政府信息公开业务水平。</w:t>
      </w:r>
    </w:p>
    <w:p>
      <w:pPr>
        <w:pStyle w:val="2"/>
        <w:keepNext w:val="0"/>
        <w:keepLines w:val="0"/>
        <w:widowControl/>
        <w:suppressLineNumbers w:val="0"/>
        <w:shd w:val="clear" w:fill="FFFFFF"/>
        <w:spacing w:before="0" w:beforeAutospacing="0" w:after="0" w:afterAutospacing="0" w:line="560" w:lineRule="exact"/>
        <w:ind w:left="0" w:right="0" w:firstLine="640" w:firstLineChars="200"/>
        <w:rPr>
          <w:rFonts w:hint="eastAsia" w:ascii="宋体" w:hAnsi="宋体" w:eastAsia="宋体" w:cs="宋体"/>
          <w:sz w:val="24"/>
          <w:szCs w:val="24"/>
        </w:rPr>
      </w:pPr>
      <w:r>
        <w:rPr>
          <w:rFonts w:hint="eastAsia" w:ascii="仿宋_GB2312" w:hAnsi="仿宋_GB2312" w:eastAsia="仿宋_GB2312" w:cs="仿宋_GB2312"/>
          <w:color w:val="000000"/>
          <w:sz w:val="32"/>
          <w:szCs w:val="32"/>
          <w:shd w:val="clear" w:fill="FFFFFF"/>
          <w:lang w:val="en-US" w:bidi="ar"/>
        </w:rPr>
        <w:t>2.</w:t>
      </w:r>
      <w:r>
        <w:rPr>
          <w:rFonts w:hint="eastAsia" w:ascii="仿宋_GB2312" w:hAnsi="仿宋_GB2312" w:eastAsia="仿宋_GB2312" w:cs="仿宋_GB2312"/>
          <w:color w:val="000000"/>
          <w:sz w:val="32"/>
          <w:szCs w:val="32"/>
          <w:shd w:val="clear" w:fill="FFFFFF"/>
          <w:lang w:bidi="ar"/>
        </w:rPr>
        <w:t>拓宽公开渠道、丰富公开形式，为群众提供更加方便快捷的信息公开服务</w:t>
      </w:r>
      <w:r>
        <w:rPr>
          <w:rFonts w:hint="eastAsia" w:ascii="仿宋_GB2312" w:hAnsi="sinsum" w:eastAsia="仿宋_GB2312" w:cs="仿宋_GB2312"/>
          <w:color w:val="333333"/>
          <w:sz w:val="31"/>
          <w:szCs w:val="31"/>
          <w:shd w:val="clear" w:fill="FFFFFF"/>
        </w:rPr>
        <w:t>。</w:t>
      </w:r>
    </w:p>
    <w:p>
      <w:pPr>
        <w:keepNext w:val="0"/>
        <w:keepLines w:val="0"/>
        <w:widowControl/>
        <w:suppressLineNumbers w:val="0"/>
        <w:shd w:val="clear" w:fill="FFFFFF"/>
        <w:spacing w:beforeAutospacing="1" w:afterAutospacing="1" w:line="560" w:lineRule="exact"/>
        <w:ind w:left="0" w:right="0" w:firstLine="620" w:firstLineChars="200"/>
        <w:jc w:val="left"/>
      </w:pPr>
      <w:r>
        <w:rPr>
          <w:rFonts w:hint="eastAsia" w:ascii="仿宋_GB2312" w:hAnsi="sinsum" w:eastAsia="仿宋_GB2312" w:cs="仿宋_GB2312"/>
          <w:color w:val="333333"/>
          <w:kern w:val="0"/>
          <w:sz w:val="31"/>
          <w:szCs w:val="31"/>
          <w:shd w:val="clear" w:fill="FFFFFF"/>
          <w:lang w:val="en-US" w:eastAsia="zh-CN" w:bidi="ar"/>
        </w:rPr>
        <w:t>3.加强机构和队伍建设。切实加强组织领导，进一步配强、配齐队伍，加强，提高认识，增强工作能力，</w:t>
      </w:r>
      <w:r>
        <w:rPr>
          <w:rFonts w:hint="eastAsia" w:ascii="仿宋_GB2312" w:hAnsi="仿宋_GB2312" w:eastAsia="仿宋_GB2312" w:cs="仿宋_GB2312"/>
          <w:color w:val="000000"/>
          <w:kern w:val="0"/>
          <w:sz w:val="32"/>
          <w:szCs w:val="32"/>
          <w:shd w:val="clear" w:fill="FFFFFF"/>
          <w:lang w:val="en-US" w:eastAsia="zh-CN" w:bidi="ar"/>
        </w:rPr>
        <w:t>及时公开政府信息，促进我局政务公开工作再上新台阶。</w:t>
      </w:r>
    </w:p>
    <w:p>
      <w:pPr>
        <w:keepNext w:val="0"/>
        <w:keepLines w:val="0"/>
        <w:widowControl/>
        <w:suppressLineNumbers w:val="0"/>
        <w:shd w:val="clear" w:fill="FFFFFF"/>
        <w:spacing w:beforeAutospacing="1" w:afterAutospacing="1" w:line="560" w:lineRule="exact"/>
        <w:ind w:left="0" w:right="0" w:firstLine="640" w:firstLineChars="200"/>
        <w:jc w:val="left"/>
      </w:pPr>
      <w:r>
        <w:rPr>
          <w:rFonts w:hint="eastAsia" w:ascii="黑体" w:hAnsi="宋体" w:eastAsia="黑体" w:cs="黑体"/>
          <w:color w:val="000000"/>
          <w:kern w:val="0"/>
          <w:sz w:val="32"/>
          <w:szCs w:val="32"/>
          <w:shd w:val="clear" w:fill="FFFFFF"/>
          <w:lang w:val="en-US" w:eastAsia="zh-CN" w:bidi="ar"/>
        </w:rPr>
        <w:t>六、其他需要报告的事项</w:t>
      </w:r>
    </w:p>
    <w:p>
      <w:pPr>
        <w:keepNext w:val="0"/>
        <w:keepLines w:val="0"/>
        <w:widowControl/>
        <w:suppressLineNumbers w:val="0"/>
        <w:shd w:val="clear" w:fill="FFFFFF"/>
        <w:spacing w:beforeAutospacing="1" w:afterAutospacing="1" w:line="560" w:lineRule="exact"/>
        <w:ind w:left="0" w:right="0" w:firstLine="640" w:firstLineChars="200"/>
        <w:jc w:val="left"/>
      </w:pPr>
      <w:r>
        <w:rPr>
          <w:rFonts w:hint="eastAsia" w:ascii="仿宋_GB2312" w:hAnsi="仿宋_GB2312" w:eastAsia="仿宋_GB2312" w:cs="仿宋_GB2312"/>
          <w:color w:val="000000"/>
          <w:kern w:val="0"/>
          <w:sz w:val="32"/>
          <w:szCs w:val="32"/>
          <w:shd w:val="clear" w:fill="FFFFFF"/>
          <w:lang w:val="en-US" w:eastAsia="zh-CN" w:bidi="ar"/>
        </w:rPr>
        <w:t>　　无。</w:t>
      </w:r>
    </w:p>
    <w:p>
      <w:pPr>
        <w:keepNext w:val="0"/>
        <w:keepLines w:val="0"/>
        <w:widowControl/>
        <w:suppressLineNumbers w:val="0"/>
        <w:shd w:val="clear" w:fill="FFFFFF"/>
        <w:spacing w:beforeAutospacing="1" w:afterAutospacing="1" w:line="560" w:lineRule="exact"/>
        <w:ind w:left="0" w:right="0" w:firstLine="640" w:firstLineChars="200"/>
        <w:jc w:val="left"/>
      </w:pPr>
      <w:r>
        <w:rPr>
          <w:rFonts w:hint="eastAsia" w:ascii="仿宋_GB2312" w:hAnsi="仿宋_GB2312" w:eastAsia="仿宋_GB2312" w:cs="仿宋_GB2312"/>
          <w:color w:val="000000"/>
          <w:kern w:val="0"/>
          <w:sz w:val="32"/>
          <w:szCs w:val="32"/>
          <w:shd w:val="clear" w:fill="FFFFFF"/>
          <w:lang w:val="en-US" w:eastAsia="zh-CN" w:bidi="ar"/>
        </w:rPr>
        <w:t> </w:t>
      </w:r>
    </w:p>
    <w:p>
      <w:bookmarkStart w:id="0" w:name="_GoBack"/>
      <w:bookmarkEnd w:id="0"/>
    </w:p>
    <w:sectPr>
      <w:pgSz w:w="11906" w:h="16838"/>
      <w:pgMar w:top="1" w:right="1800" w:bottom="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insum">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B52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2021-04-20T03:07:07Z</dcterms:created>
  <dc:creator>Administrator</dc:creator>
  <cp:lastModifiedBy>ln</cp:lastModifiedBy>
  <dcterms:modified xsi:type="dcterms:W3CDTF">2021-04-20T03:07:18Z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5C7999A7410B4E45BA65DBF879C06EC3</vt:lpwstr>
  </property>
</Properties>
</file>