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pPr>
      <w:r>
        <w:rPr>
          <w:rFonts w:hint="eastAsia" w:ascii="宋体" w:hAnsi="宋体" w:eastAsia="宋体" w:cs="宋体"/>
          <w:kern w:val="0"/>
          <w:sz w:val="24"/>
          <w:szCs w:val="24"/>
          <w:lang w:val="en-US" w:eastAsia="zh-CN" w:bidi="ar"/>
        </w:rPr>
        <w:t xml:space="preserve">  </w:t>
      </w:r>
    </w:p>
    <w:p>
      <w:pPr>
        <w:keepNext w:val="0"/>
        <w:keepLines w:val="0"/>
        <w:widowControl/>
        <w:suppressLineNumbers w:val="0"/>
        <w:spacing w:beforeAutospacing="1" w:afterAutospacing="1" w:line="540" w:lineRule="exact"/>
        <w:ind w:left="0" w:right="0"/>
        <w:jc w:val="center"/>
      </w:pPr>
      <w:r>
        <w:rPr>
          <w:rFonts w:asciiTheme="minorHAnsi" w:hAnsiTheme="minorHAnsi" w:eastAsiaTheme="minorEastAsia" w:cstheme="minorBidi"/>
          <w:kern w:val="0"/>
          <w:sz w:val="24"/>
          <w:szCs w:val="24"/>
          <w:lang w:val="en-US" w:eastAsia="zh-CN" w:bidi="ar"/>
        </w:rPr>
        <w:t> </w:t>
      </w:r>
    </w:p>
    <w:p>
      <w:pPr>
        <w:keepNext w:val="0"/>
        <w:keepLines w:val="0"/>
        <w:widowControl/>
        <w:suppressLineNumbers w:val="0"/>
        <w:shd w:val="solid" w:color="FFFFFF" w:fill="auto"/>
        <w:spacing w:beforeAutospacing="1" w:afterAutospacing="1" w:line="520" w:lineRule="exact"/>
        <w:ind w:left="0" w:right="0"/>
        <w:jc w:val="left"/>
      </w:pPr>
      <w:r>
        <w:rPr>
          <w:rFonts w:ascii="仿宋_GB2312" w:hAnsi="仿宋_GB2312" w:eastAsia="仿宋_GB2312" w:cs="仿宋_GB2312"/>
          <w:kern w:val="0"/>
          <w:sz w:val="32"/>
          <w:szCs w:val="22"/>
          <w:shd w:val="solid" w:color="FFFFFF" w:fill="auto"/>
          <w:lang w:val="en-US" w:eastAsia="zh-CN" w:bidi="ar"/>
        </w:rPr>
        <w:t xml:space="preserve">    </w:t>
      </w:r>
      <w:r>
        <w:rPr>
          <w:rFonts w:hint="eastAsia" w:ascii="仿宋_GB2312" w:hAnsi="仿宋_GB2312" w:eastAsia="仿宋_GB2312" w:cs="仿宋_GB2312"/>
          <w:kern w:val="0"/>
          <w:sz w:val="32"/>
          <w:szCs w:val="22"/>
          <w:shd w:val="solid" w:color="FFFFFF" w:fill="auto"/>
          <w:lang w:val="en-US" w:eastAsia="zh-CN" w:bidi="ar"/>
        </w:rPr>
        <w:t>2020年，我镇认真落实《中华人民共和国政府信息公开条例》和龙岩市《2020年政务公开工作要点》文件精神，结合《武平县全面推进基层政务公开标准化规范化工作实施方案》的要求完善政务公开制度规范，深化重点领域信息公开，加强政策结合解读和政务舆情回应，着力提升政务公开量。现就2020年度中赤镇人民政府信息公开工作进展情况报告如下：</w:t>
      </w:r>
    </w:p>
    <w:p>
      <w:pPr>
        <w:keepNext w:val="0"/>
        <w:keepLines w:val="0"/>
        <w:widowControl/>
        <w:suppressLineNumbers w:val="0"/>
        <w:shd w:val="solid" w:color="FFFFFF" w:fill="auto"/>
        <w:spacing w:beforeAutospacing="1" w:afterAutospacing="1" w:line="520" w:lineRule="exact"/>
        <w:ind w:left="226" w:right="0" w:firstLine="640" w:firstLineChars="200"/>
        <w:jc w:val="left"/>
      </w:pPr>
      <w:r>
        <w:rPr>
          <w:rFonts w:hint="eastAsia" w:ascii="仿宋_GB2312" w:hAnsi="仿宋_GB2312" w:eastAsia="仿宋_GB2312" w:cs="仿宋_GB2312"/>
          <w:kern w:val="0"/>
          <w:sz w:val="32"/>
          <w:szCs w:val="22"/>
          <w:shd w:val="solid" w:color="FFFFFF" w:fill="auto"/>
          <w:lang w:val="en-US" w:eastAsia="zh-CN" w:bidi="ar"/>
        </w:rPr>
        <w:t xml:space="preserve">本报告的统计数据时间自2020年1月1日起至2020年12月31日，报告可在武平县人民政府门户网站进行下载。如对本报告有任何疑问，请与中赤镇党政办联系（邮编：364312，电话：0597—3231599）。  </w:t>
      </w:r>
    </w:p>
    <w:p>
      <w:pPr>
        <w:keepNext w:val="0"/>
        <w:keepLines w:val="0"/>
        <w:widowControl/>
        <w:suppressLineNumbers w:val="0"/>
        <w:shd w:val="solid" w:color="FFFFFF" w:fill="auto"/>
        <w:spacing w:beforeAutospacing="1" w:afterAutospacing="1" w:line="520" w:lineRule="exact"/>
        <w:ind w:left="0" w:right="0" w:firstLine="640" w:firstLineChars="200"/>
        <w:jc w:val="left"/>
      </w:pPr>
      <w:r>
        <w:rPr>
          <w:rFonts w:ascii="黑体" w:hAnsi="宋体" w:eastAsia="黑体" w:cs="黑体"/>
          <w:kern w:val="0"/>
          <w:sz w:val="32"/>
          <w:szCs w:val="22"/>
          <w:shd w:val="solid" w:color="FFFFFF" w:fill="auto"/>
          <w:lang w:val="en-US" w:eastAsia="zh-CN" w:bidi="ar"/>
        </w:rPr>
        <w:t>一、总体情况</w:t>
      </w:r>
    </w:p>
    <w:p>
      <w:pPr>
        <w:keepNext w:val="0"/>
        <w:keepLines w:val="0"/>
        <w:widowControl/>
        <w:suppressLineNumbers w:val="0"/>
        <w:shd w:val="solid" w:color="FFFFFF" w:fill="auto"/>
        <w:wordWrap w:val="0"/>
        <w:spacing w:beforeAutospacing="1" w:afterAutospacing="1" w:line="520" w:lineRule="exact"/>
        <w:ind w:left="0" w:right="0" w:firstLine="643" w:firstLineChars="200"/>
        <w:jc w:val="left"/>
      </w:pPr>
      <w:r>
        <w:rPr>
          <w:rFonts w:hint="eastAsia" w:ascii="仿宋_GB2312" w:hAnsi="仿宋_GB2312" w:eastAsia="仿宋_GB2312" w:cs="仿宋_GB2312"/>
          <w:b/>
          <w:bCs w:val="0"/>
          <w:kern w:val="0"/>
          <w:sz w:val="32"/>
          <w:szCs w:val="22"/>
          <w:shd w:val="solid" w:color="FFFFFF" w:fill="auto"/>
          <w:lang w:val="en-US" w:eastAsia="zh-CN" w:bidi="ar"/>
        </w:rPr>
        <w:t>（一）扎实推进公开工作。</w:t>
      </w:r>
      <w:r>
        <w:rPr>
          <w:rFonts w:hint="eastAsia" w:ascii="仿宋_GB2312" w:hAnsi="仿宋_GB2312" w:eastAsia="仿宋_GB2312" w:cs="仿宋_GB2312"/>
          <w:kern w:val="0"/>
          <w:sz w:val="32"/>
          <w:szCs w:val="22"/>
          <w:shd w:val="solid" w:color="FFFFFF" w:fill="auto"/>
          <w:lang w:val="en-US" w:eastAsia="zh-CN" w:bidi="ar"/>
        </w:rPr>
        <w:t>我镇认真落实省、市、县政务公开工作部署，明确责任单位，压实工作责任。推动七所八站加强政务公开建设，抓好各项工作落实，督促切实履行公开职责。根据《中华人民共和国政府信息公开工作年度报告格式（试行）》最新要求，及时组织各级政府和部门做好政府信息公开年度报告工作。</w:t>
      </w:r>
    </w:p>
    <w:p>
      <w:pPr>
        <w:keepNext w:val="0"/>
        <w:keepLines w:val="0"/>
        <w:widowControl/>
        <w:suppressLineNumbers w:val="0"/>
        <w:shd w:val="solid" w:color="FFFFFF" w:fill="auto"/>
        <w:wordWrap w:val="0"/>
        <w:spacing w:beforeAutospacing="1" w:afterAutospacing="1" w:line="520" w:lineRule="exact"/>
        <w:ind w:left="0" w:right="0" w:firstLine="643" w:firstLineChars="200"/>
        <w:jc w:val="left"/>
      </w:pPr>
      <w:r>
        <w:rPr>
          <w:rFonts w:hint="eastAsia" w:ascii="仿宋_GB2312" w:hAnsi="仿宋_GB2312" w:eastAsia="仿宋_GB2312" w:cs="仿宋_GB2312"/>
          <w:b/>
          <w:bCs w:val="0"/>
          <w:kern w:val="0"/>
          <w:sz w:val="32"/>
          <w:szCs w:val="22"/>
          <w:shd w:val="solid" w:color="FFFFFF" w:fill="auto"/>
          <w:lang w:val="en-US" w:eastAsia="zh-CN" w:bidi="ar"/>
        </w:rPr>
        <w:t>（二）切实履行公开职责。</w:t>
      </w:r>
      <w:r>
        <w:rPr>
          <w:rFonts w:hint="eastAsia" w:ascii="仿宋_GB2312" w:hAnsi="仿宋_GB2312" w:eastAsia="仿宋_GB2312" w:cs="仿宋_GB2312"/>
          <w:kern w:val="0"/>
          <w:sz w:val="32"/>
          <w:szCs w:val="22"/>
          <w:shd w:val="solid" w:color="FFFFFF" w:fill="auto"/>
          <w:lang w:val="en-US" w:eastAsia="zh-CN" w:bidi="ar"/>
        </w:rPr>
        <w:t>我镇按照《规定》的要求，以公开为原则，不公开为例外，重点对外公开了决策、执行、管理、服务、结果、监督保障、回应关切、社会公益事业建设、农业农村政策、公共服务与民生等政务信息，在县政府网站中赤镇人民政府网页主动公开政府信息总计27条。</w:t>
      </w:r>
    </w:p>
    <w:p>
      <w:pPr>
        <w:keepNext w:val="0"/>
        <w:keepLines w:val="0"/>
        <w:widowControl/>
        <w:suppressLineNumbers w:val="0"/>
        <w:shd w:val="solid" w:color="FFFFFF" w:fill="auto"/>
        <w:wordWrap w:val="0"/>
        <w:spacing w:beforeAutospacing="1" w:afterAutospacing="1" w:line="520" w:lineRule="exact"/>
        <w:ind w:left="0" w:right="0" w:firstLine="643" w:firstLineChars="200"/>
        <w:jc w:val="left"/>
      </w:pPr>
      <w:r>
        <w:rPr>
          <w:rFonts w:hint="eastAsia" w:ascii="仿宋_GB2312" w:hAnsi="仿宋_GB2312" w:eastAsia="仿宋_GB2312" w:cs="仿宋_GB2312"/>
          <w:b/>
          <w:bCs w:val="0"/>
          <w:kern w:val="0"/>
          <w:sz w:val="32"/>
          <w:szCs w:val="22"/>
          <w:shd w:val="solid" w:color="FFFFFF" w:fill="auto"/>
          <w:lang w:val="en-US" w:eastAsia="zh-CN" w:bidi="ar"/>
        </w:rPr>
        <w:t>（三）完善政务公开工作机制</w:t>
      </w:r>
    </w:p>
    <w:p>
      <w:pPr>
        <w:keepNext w:val="0"/>
        <w:keepLines w:val="0"/>
        <w:widowControl/>
        <w:suppressLineNumbers w:val="0"/>
        <w:shd w:val="solid" w:color="FFFFFF" w:fill="auto"/>
        <w:wordWrap w:val="0"/>
        <w:spacing w:beforeAutospacing="1" w:afterAutospacing="1" w:line="520" w:lineRule="exact"/>
        <w:ind w:left="0" w:right="0" w:firstLine="643" w:firstLineChars="200"/>
        <w:jc w:val="left"/>
      </w:pPr>
      <w:r>
        <w:rPr>
          <w:rFonts w:hint="eastAsia" w:ascii="仿宋_GB2312" w:hAnsi="仿宋_GB2312" w:eastAsia="仿宋_GB2312" w:cs="仿宋_GB2312"/>
          <w:b/>
          <w:bCs/>
          <w:kern w:val="0"/>
          <w:sz w:val="32"/>
          <w:szCs w:val="22"/>
          <w:shd w:val="solid" w:color="FFFFFF" w:fill="auto"/>
          <w:lang w:val="en-US" w:eastAsia="zh-CN" w:bidi="ar"/>
        </w:rPr>
        <w:t>一是</w:t>
      </w:r>
      <w:r>
        <w:rPr>
          <w:rFonts w:hint="eastAsia" w:ascii="仿宋_GB2312" w:hAnsi="仿宋_GB2312" w:eastAsia="仿宋_GB2312" w:cs="仿宋_GB2312"/>
          <w:kern w:val="0"/>
          <w:sz w:val="32"/>
          <w:szCs w:val="22"/>
          <w:shd w:val="solid" w:color="FFFFFF" w:fill="auto"/>
          <w:lang w:val="en-US" w:eastAsia="zh-CN" w:bidi="ar"/>
        </w:rPr>
        <w:t>成立了以镇长为组长，分管领导为副组长，党政办、各职能站所负责人为组员的政府信息公开工作的领导小组，切实保证了政府信息公开的领导力量；</w:t>
      </w:r>
      <w:r>
        <w:rPr>
          <w:rFonts w:hint="eastAsia" w:ascii="仿宋_GB2312" w:hAnsi="仿宋_GB2312" w:eastAsia="仿宋_GB2312" w:cs="仿宋_GB2312"/>
          <w:b/>
          <w:bCs/>
          <w:kern w:val="0"/>
          <w:sz w:val="32"/>
          <w:szCs w:val="22"/>
          <w:shd w:val="solid" w:color="FFFFFF" w:fill="auto"/>
          <w:lang w:val="en-US" w:eastAsia="zh-CN" w:bidi="ar"/>
        </w:rPr>
        <w:t>二是</w:t>
      </w:r>
      <w:r>
        <w:rPr>
          <w:rFonts w:hint="eastAsia" w:ascii="仿宋_GB2312" w:hAnsi="仿宋_GB2312" w:eastAsia="仿宋_GB2312" w:cs="仿宋_GB2312"/>
          <w:kern w:val="0"/>
          <w:sz w:val="32"/>
          <w:szCs w:val="22"/>
          <w:shd w:val="solid" w:color="FFFFFF" w:fill="auto"/>
          <w:lang w:val="en-US" w:eastAsia="zh-CN" w:bidi="ar"/>
        </w:rPr>
        <w:t>严格贯彻执行上级工作要求，并常态化公开相关信息；</w:t>
      </w:r>
      <w:r>
        <w:rPr>
          <w:rFonts w:hint="eastAsia" w:ascii="仿宋_GB2312" w:hAnsi="仿宋_GB2312" w:eastAsia="仿宋_GB2312" w:cs="仿宋_GB2312"/>
          <w:b/>
          <w:bCs/>
          <w:kern w:val="0"/>
          <w:sz w:val="32"/>
          <w:szCs w:val="22"/>
          <w:shd w:val="solid" w:color="FFFFFF" w:fill="auto"/>
          <w:lang w:val="en-US" w:eastAsia="zh-CN" w:bidi="ar"/>
        </w:rPr>
        <w:t>三是</w:t>
      </w:r>
      <w:r>
        <w:rPr>
          <w:rFonts w:hint="eastAsia" w:ascii="仿宋_GB2312" w:hAnsi="仿宋_GB2312" w:eastAsia="仿宋_GB2312" w:cs="仿宋_GB2312"/>
          <w:kern w:val="0"/>
          <w:sz w:val="32"/>
          <w:szCs w:val="22"/>
          <w:shd w:val="solid" w:color="FFFFFF" w:fill="auto"/>
          <w:lang w:val="en-US" w:eastAsia="zh-CN" w:bidi="ar"/>
        </w:rPr>
        <w:t>不断完善信息公开制度；</w:t>
      </w:r>
      <w:r>
        <w:rPr>
          <w:rFonts w:hint="eastAsia" w:ascii="仿宋_GB2312" w:hAnsi="仿宋_GB2312" w:eastAsia="仿宋_GB2312" w:cs="仿宋_GB2312"/>
          <w:b/>
          <w:bCs/>
          <w:kern w:val="0"/>
          <w:sz w:val="32"/>
          <w:szCs w:val="22"/>
          <w:shd w:val="solid" w:color="FFFFFF" w:fill="auto"/>
          <w:lang w:val="en-US" w:eastAsia="zh-CN" w:bidi="ar"/>
        </w:rPr>
        <w:t>四是</w:t>
      </w:r>
      <w:r>
        <w:rPr>
          <w:rFonts w:hint="eastAsia" w:ascii="仿宋_GB2312" w:hAnsi="仿宋_GB2312" w:eastAsia="仿宋_GB2312" w:cs="仿宋_GB2312"/>
          <w:kern w:val="0"/>
          <w:sz w:val="32"/>
          <w:szCs w:val="22"/>
          <w:shd w:val="solid" w:color="FFFFFF" w:fill="auto"/>
          <w:lang w:val="en-US" w:eastAsia="zh-CN" w:bidi="ar"/>
        </w:rPr>
        <w:t>强化审核程序，明确信息录入和发布审核责任分工。</w:t>
      </w:r>
    </w:p>
    <w:p>
      <w:pPr>
        <w:keepNext w:val="0"/>
        <w:keepLines w:val="0"/>
        <w:widowControl/>
        <w:suppressLineNumbers w:val="0"/>
        <w:spacing w:beforeAutospacing="1" w:afterAutospacing="1" w:line="520" w:lineRule="exact"/>
        <w:ind w:left="0" w:right="0" w:firstLine="480" w:firstLineChars="200"/>
        <w:jc w:val="left"/>
      </w:pPr>
      <w:r>
        <w:rPr>
          <w:rFonts w:ascii="微软雅黑" w:hAnsi="微软雅黑" w:eastAsia="微软雅黑" w:cs="宋体"/>
          <w:kern w:val="0"/>
          <w:sz w:val="24"/>
          <w:szCs w:val="24"/>
          <w:lang w:val="en-US" w:eastAsia="zh-CN" w:bidi="ar"/>
        </w:rPr>
        <w:t>　</w:t>
      </w:r>
      <w:r>
        <w:rPr>
          <w:rFonts w:hint="eastAsia" w:ascii="黑体" w:hAnsi="宋体" w:eastAsia="黑体" w:cs="黑体"/>
          <w:kern w:val="0"/>
          <w:sz w:val="32"/>
          <w:szCs w:val="32"/>
          <w:lang w:val="en-US" w:eastAsia="zh-CN" w:bidi="ar"/>
        </w:rPr>
        <w:t>二、主动公开政府信息情况</w:t>
      </w:r>
    </w:p>
    <w:tbl>
      <w:tblPr>
        <w:tblW w:w="0" w:type="auto"/>
        <w:jc w:val="center"/>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2665"/>
        <w:gridCol w:w="1969"/>
        <w:gridCol w:w="1628"/>
        <w:gridCol w:w="2028"/>
      </w:tblGrid>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8290" w:type="dxa"/>
            <w:gridSpan w:val="4"/>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第二十条第（一）项</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6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信息内容</w:t>
            </w:r>
          </w:p>
        </w:tc>
        <w:tc>
          <w:tcPr>
            <w:tcW w:w="196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jc w:val="center"/>
            </w:pPr>
            <w:r>
              <w:rPr>
                <w:rFonts w:hint="eastAsia" w:ascii="微软雅黑" w:hAnsi="微软雅黑" w:eastAsia="微软雅黑" w:cs="宋体"/>
                <w:kern w:val="0"/>
                <w:sz w:val="24"/>
                <w:szCs w:val="21"/>
                <w:bdr w:val="none" w:color="auto" w:sz="0" w:space="0"/>
                <w:lang w:val="en-US" w:eastAsia="zh-CN" w:bidi="ar"/>
              </w:rPr>
              <w:t>本年新制作数量</w:t>
            </w:r>
          </w:p>
        </w:tc>
        <w:tc>
          <w:tcPr>
            <w:tcW w:w="162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jc w:val="center"/>
            </w:pPr>
            <w:r>
              <w:rPr>
                <w:rFonts w:hint="eastAsia" w:ascii="微软雅黑" w:hAnsi="微软雅黑" w:eastAsia="微软雅黑" w:cs="宋体"/>
                <w:kern w:val="0"/>
                <w:sz w:val="24"/>
                <w:szCs w:val="21"/>
                <w:bdr w:val="none" w:color="auto" w:sz="0" w:space="0"/>
                <w:lang w:val="en-US" w:eastAsia="zh-CN" w:bidi="ar"/>
              </w:rPr>
              <w:t>本年新公开数量</w:t>
            </w:r>
          </w:p>
        </w:tc>
        <w:tc>
          <w:tcPr>
            <w:tcW w:w="202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jc w:val="center"/>
            </w:pPr>
            <w:r>
              <w:rPr>
                <w:rFonts w:hint="eastAsia" w:ascii="微软雅黑" w:hAnsi="微软雅黑" w:eastAsia="微软雅黑" w:cs="宋体"/>
                <w:kern w:val="0"/>
                <w:sz w:val="24"/>
                <w:szCs w:val="21"/>
                <w:bdr w:val="none" w:color="auto" w:sz="0" w:space="0"/>
                <w:lang w:val="en-US" w:eastAsia="zh-CN" w:bidi="ar"/>
              </w:rPr>
              <w:t>对外公开总数量</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6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规章</w:t>
            </w:r>
          </w:p>
        </w:tc>
        <w:tc>
          <w:tcPr>
            <w:tcW w:w="196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center"/>
            </w:pPr>
            <w:r>
              <w:rPr>
                <w:rFonts w:hint="eastAsia" w:ascii="微软雅黑" w:hAnsi="微软雅黑" w:eastAsia="微软雅黑" w:cs="宋体"/>
                <w:kern w:val="0"/>
                <w:sz w:val="24"/>
                <w:szCs w:val="21"/>
                <w:bdr w:val="none" w:color="auto" w:sz="0" w:space="0"/>
                <w:lang w:val="en-US" w:eastAsia="zh-CN" w:bidi="ar"/>
              </w:rPr>
              <w:t> 0</w:t>
            </w:r>
          </w:p>
        </w:tc>
        <w:tc>
          <w:tcPr>
            <w:tcW w:w="162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center"/>
            </w:pPr>
            <w:r>
              <w:rPr>
                <w:rFonts w:hint="eastAsia" w:ascii="微软雅黑" w:hAnsi="微软雅黑" w:eastAsia="微软雅黑" w:cs="宋体"/>
                <w:kern w:val="0"/>
                <w:sz w:val="24"/>
                <w:szCs w:val="21"/>
                <w:bdr w:val="none" w:color="auto" w:sz="0" w:space="0"/>
                <w:lang w:val="en-US" w:eastAsia="zh-CN" w:bidi="ar"/>
              </w:rPr>
              <w:t> 0</w:t>
            </w:r>
          </w:p>
        </w:tc>
        <w:tc>
          <w:tcPr>
            <w:tcW w:w="202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center"/>
            </w:pPr>
            <w:r>
              <w:rPr>
                <w:rFonts w:hint="eastAsia" w:ascii="微软雅黑" w:hAnsi="微软雅黑" w:eastAsia="微软雅黑" w:cs="宋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6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规范性文件</w:t>
            </w:r>
          </w:p>
        </w:tc>
        <w:tc>
          <w:tcPr>
            <w:tcW w:w="196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center"/>
            </w:pPr>
            <w:r>
              <w:rPr>
                <w:rFonts w:hint="eastAsia" w:ascii="微软雅黑" w:hAnsi="微软雅黑" w:eastAsia="微软雅黑" w:cs="宋体"/>
                <w:kern w:val="0"/>
                <w:sz w:val="24"/>
                <w:szCs w:val="21"/>
                <w:bdr w:val="none" w:color="auto" w:sz="0" w:space="0"/>
                <w:lang w:val="en-US" w:eastAsia="zh-CN" w:bidi="ar"/>
              </w:rPr>
              <w:t>2</w:t>
            </w:r>
          </w:p>
        </w:tc>
        <w:tc>
          <w:tcPr>
            <w:tcW w:w="162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center"/>
            </w:pPr>
            <w:r>
              <w:rPr>
                <w:rFonts w:hint="eastAsia" w:ascii="微软雅黑" w:hAnsi="微软雅黑" w:eastAsia="微软雅黑" w:cs="宋体"/>
                <w:kern w:val="0"/>
                <w:sz w:val="24"/>
                <w:szCs w:val="21"/>
                <w:bdr w:val="none" w:color="auto" w:sz="0" w:space="0"/>
                <w:lang w:val="en-US" w:eastAsia="zh-CN" w:bidi="ar"/>
              </w:rPr>
              <w:t>2</w:t>
            </w:r>
          </w:p>
        </w:tc>
        <w:tc>
          <w:tcPr>
            <w:tcW w:w="202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center"/>
            </w:pPr>
            <w:r>
              <w:rPr>
                <w:rFonts w:hint="eastAsia" w:ascii="微软雅黑" w:hAnsi="微软雅黑" w:eastAsia="微软雅黑" w:cs="宋体"/>
                <w:kern w:val="0"/>
                <w:sz w:val="24"/>
                <w:szCs w:val="21"/>
                <w:bdr w:val="none" w:color="auto" w:sz="0" w:space="0"/>
                <w:lang w:val="en-US" w:eastAsia="zh-CN" w:bidi="ar"/>
              </w:rPr>
              <w:t>5</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8290" w:type="dxa"/>
            <w:gridSpan w:val="4"/>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第二十条第（五）项</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6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center"/>
            </w:pPr>
            <w:r>
              <w:rPr>
                <w:rFonts w:hint="eastAsia" w:ascii="微软雅黑" w:hAnsi="微软雅黑" w:eastAsia="微软雅黑" w:cs="宋体"/>
                <w:kern w:val="0"/>
                <w:sz w:val="24"/>
                <w:szCs w:val="21"/>
                <w:bdr w:val="none" w:color="auto" w:sz="0" w:space="0"/>
                <w:lang w:val="en-US" w:eastAsia="zh-CN" w:bidi="ar"/>
              </w:rPr>
              <w:t>　　信息内容</w:t>
            </w:r>
          </w:p>
        </w:tc>
        <w:tc>
          <w:tcPr>
            <w:tcW w:w="196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jc w:val="center"/>
            </w:pPr>
            <w:r>
              <w:rPr>
                <w:rFonts w:hint="eastAsia" w:ascii="微软雅黑" w:hAnsi="微软雅黑" w:eastAsia="微软雅黑" w:cs="宋体"/>
                <w:kern w:val="0"/>
                <w:sz w:val="24"/>
                <w:szCs w:val="21"/>
                <w:bdr w:val="none" w:color="auto" w:sz="0" w:space="0"/>
                <w:lang w:val="en-US" w:eastAsia="zh-CN" w:bidi="ar"/>
              </w:rPr>
              <w:t>上一年项目数量</w:t>
            </w:r>
          </w:p>
        </w:tc>
        <w:tc>
          <w:tcPr>
            <w:tcW w:w="162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jc w:val="center"/>
            </w:pPr>
            <w:r>
              <w:rPr>
                <w:rFonts w:hint="eastAsia" w:ascii="微软雅黑" w:hAnsi="微软雅黑" w:eastAsia="微软雅黑" w:cs="宋体"/>
                <w:kern w:val="0"/>
                <w:sz w:val="24"/>
                <w:szCs w:val="21"/>
                <w:bdr w:val="none" w:color="auto" w:sz="0" w:space="0"/>
                <w:lang w:val="en-US" w:eastAsia="zh-CN" w:bidi="ar"/>
              </w:rPr>
              <w:t>本年增/减</w:t>
            </w:r>
          </w:p>
        </w:tc>
        <w:tc>
          <w:tcPr>
            <w:tcW w:w="202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jc w:val="center"/>
            </w:pPr>
            <w:r>
              <w:rPr>
                <w:rFonts w:hint="eastAsia" w:ascii="微软雅黑" w:hAnsi="微软雅黑" w:eastAsia="微软雅黑" w:cs="宋体"/>
                <w:kern w:val="0"/>
                <w:sz w:val="24"/>
                <w:szCs w:val="21"/>
                <w:bdr w:val="none" w:color="auto" w:sz="0" w:space="0"/>
                <w:lang w:val="en-US" w:eastAsia="zh-CN" w:bidi="ar"/>
              </w:rPr>
              <w:t>处理决定数量</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6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center"/>
            </w:pPr>
            <w:r>
              <w:rPr>
                <w:rFonts w:hint="eastAsia" w:ascii="微软雅黑" w:hAnsi="微软雅黑" w:eastAsia="微软雅黑" w:cs="宋体"/>
                <w:kern w:val="0"/>
                <w:sz w:val="24"/>
                <w:szCs w:val="21"/>
                <w:bdr w:val="none" w:color="auto" w:sz="0" w:space="0"/>
                <w:lang w:val="en-US" w:eastAsia="zh-CN" w:bidi="ar"/>
              </w:rPr>
              <w:t>　　行政许可</w:t>
            </w:r>
          </w:p>
        </w:tc>
        <w:tc>
          <w:tcPr>
            <w:tcW w:w="196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center"/>
            </w:pPr>
            <w:r>
              <w:rPr>
                <w:rFonts w:hint="eastAsia" w:ascii="微软雅黑" w:hAnsi="微软雅黑" w:eastAsia="微软雅黑" w:cs="宋体"/>
                <w:kern w:val="0"/>
                <w:sz w:val="24"/>
                <w:szCs w:val="21"/>
                <w:bdr w:val="none" w:color="auto" w:sz="0" w:space="0"/>
                <w:lang w:val="en-US" w:eastAsia="zh-CN" w:bidi="ar"/>
              </w:rPr>
              <w:t>24</w:t>
            </w:r>
          </w:p>
        </w:tc>
        <w:tc>
          <w:tcPr>
            <w:tcW w:w="162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center"/>
            </w:pPr>
            <w:r>
              <w:rPr>
                <w:rFonts w:hint="eastAsia" w:ascii="微软雅黑" w:hAnsi="微软雅黑" w:eastAsia="微软雅黑" w:cs="宋体"/>
                <w:kern w:val="0"/>
                <w:sz w:val="24"/>
                <w:szCs w:val="21"/>
                <w:bdr w:val="none" w:color="auto" w:sz="0" w:space="0"/>
                <w:lang w:val="en-US" w:eastAsia="zh-CN" w:bidi="ar"/>
              </w:rPr>
              <w:t> 0</w:t>
            </w:r>
          </w:p>
        </w:tc>
        <w:tc>
          <w:tcPr>
            <w:tcW w:w="202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center"/>
            </w:pPr>
            <w:r>
              <w:rPr>
                <w:rFonts w:hint="eastAsia" w:ascii="微软雅黑" w:hAnsi="微软雅黑" w:eastAsia="微软雅黑" w:cs="宋体"/>
                <w:kern w:val="0"/>
                <w:sz w:val="24"/>
                <w:szCs w:val="21"/>
                <w:bdr w:val="none" w:color="auto" w:sz="0" w:space="0"/>
                <w:lang w:val="en-US" w:eastAsia="zh-CN" w:bidi="ar"/>
              </w:rPr>
              <w:t>318</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6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center"/>
            </w:pPr>
            <w:r>
              <w:rPr>
                <w:rFonts w:hint="eastAsia" w:ascii="微软雅黑" w:hAnsi="微软雅黑" w:eastAsia="微软雅黑" w:cs="宋体"/>
                <w:kern w:val="0"/>
                <w:sz w:val="24"/>
                <w:szCs w:val="21"/>
                <w:bdr w:val="none" w:color="auto" w:sz="0" w:space="0"/>
                <w:lang w:val="en-US" w:eastAsia="zh-CN" w:bidi="ar"/>
              </w:rPr>
              <w:t>其他对外管理服务事项</w:t>
            </w:r>
          </w:p>
        </w:tc>
        <w:tc>
          <w:tcPr>
            <w:tcW w:w="196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center"/>
            </w:pPr>
            <w:r>
              <w:rPr>
                <w:rFonts w:hint="eastAsia" w:ascii="微软雅黑" w:hAnsi="微软雅黑" w:eastAsia="微软雅黑" w:cs="宋体"/>
                <w:kern w:val="0"/>
                <w:sz w:val="24"/>
                <w:szCs w:val="21"/>
                <w:bdr w:val="none" w:color="auto" w:sz="0" w:space="0"/>
                <w:lang w:val="en-US" w:eastAsia="zh-CN" w:bidi="ar"/>
              </w:rPr>
              <w:t>73</w:t>
            </w:r>
          </w:p>
        </w:tc>
        <w:tc>
          <w:tcPr>
            <w:tcW w:w="162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center"/>
            </w:pPr>
            <w:r>
              <w:rPr>
                <w:rFonts w:hint="eastAsia" w:ascii="微软雅黑" w:hAnsi="微软雅黑" w:eastAsia="微软雅黑" w:cs="宋体"/>
                <w:kern w:val="0"/>
                <w:sz w:val="24"/>
                <w:szCs w:val="21"/>
                <w:bdr w:val="none" w:color="auto" w:sz="0" w:space="0"/>
                <w:lang w:val="en-US" w:eastAsia="zh-CN" w:bidi="ar"/>
              </w:rPr>
              <w:t> 0</w:t>
            </w:r>
          </w:p>
        </w:tc>
        <w:tc>
          <w:tcPr>
            <w:tcW w:w="202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center"/>
            </w:pPr>
            <w:r>
              <w:rPr>
                <w:rFonts w:hint="eastAsia" w:ascii="微软雅黑" w:hAnsi="微软雅黑" w:eastAsia="微软雅黑" w:cs="宋体"/>
                <w:kern w:val="0"/>
                <w:sz w:val="24"/>
                <w:szCs w:val="21"/>
                <w:bdr w:val="none" w:color="auto" w:sz="0" w:space="0"/>
                <w:lang w:val="en-US" w:eastAsia="zh-CN" w:bidi="ar"/>
              </w:rPr>
              <w:t>702</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8290" w:type="dxa"/>
            <w:gridSpan w:val="4"/>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center"/>
            </w:pPr>
            <w:r>
              <w:rPr>
                <w:rFonts w:hint="eastAsia" w:ascii="微软雅黑" w:hAnsi="微软雅黑" w:eastAsia="微软雅黑" w:cs="宋体"/>
                <w:kern w:val="0"/>
                <w:sz w:val="24"/>
                <w:szCs w:val="21"/>
                <w:bdr w:val="none" w:color="auto" w:sz="0" w:space="0"/>
                <w:lang w:val="en-US" w:eastAsia="zh-CN" w:bidi="ar"/>
              </w:rPr>
              <w:t>　　第二十条第（六）项</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6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center"/>
            </w:pPr>
            <w:r>
              <w:rPr>
                <w:rFonts w:hint="eastAsia" w:ascii="微软雅黑" w:hAnsi="微软雅黑" w:eastAsia="微软雅黑" w:cs="宋体"/>
                <w:kern w:val="0"/>
                <w:sz w:val="24"/>
                <w:szCs w:val="21"/>
                <w:bdr w:val="none" w:color="auto" w:sz="0" w:space="0"/>
                <w:lang w:val="en-US" w:eastAsia="zh-CN" w:bidi="ar"/>
              </w:rPr>
              <w:t>　　信息内容</w:t>
            </w:r>
          </w:p>
        </w:tc>
        <w:tc>
          <w:tcPr>
            <w:tcW w:w="196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jc w:val="center"/>
            </w:pPr>
            <w:r>
              <w:rPr>
                <w:rFonts w:hint="eastAsia" w:ascii="微软雅黑" w:hAnsi="微软雅黑" w:eastAsia="微软雅黑" w:cs="宋体"/>
                <w:kern w:val="0"/>
                <w:sz w:val="24"/>
                <w:szCs w:val="21"/>
                <w:bdr w:val="none" w:color="auto" w:sz="0" w:space="0"/>
                <w:lang w:val="en-US" w:eastAsia="zh-CN" w:bidi="ar"/>
              </w:rPr>
              <w:t>上一年项目数量</w:t>
            </w:r>
          </w:p>
        </w:tc>
        <w:tc>
          <w:tcPr>
            <w:tcW w:w="162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jc w:val="center"/>
            </w:pPr>
            <w:r>
              <w:rPr>
                <w:rFonts w:hint="eastAsia" w:ascii="微软雅黑" w:hAnsi="微软雅黑" w:eastAsia="微软雅黑" w:cs="宋体"/>
                <w:kern w:val="0"/>
                <w:sz w:val="24"/>
                <w:szCs w:val="21"/>
                <w:bdr w:val="none" w:color="auto" w:sz="0" w:space="0"/>
                <w:lang w:val="en-US" w:eastAsia="zh-CN" w:bidi="ar"/>
              </w:rPr>
              <w:t>本年增/减</w:t>
            </w:r>
          </w:p>
        </w:tc>
        <w:tc>
          <w:tcPr>
            <w:tcW w:w="202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jc w:val="center"/>
            </w:pPr>
            <w:r>
              <w:rPr>
                <w:rFonts w:hint="eastAsia" w:ascii="微软雅黑" w:hAnsi="微软雅黑" w:eastAsia="微软雅黑" w:cs="宋体"/>
                <w:kern w:val="0"/>
                <w:sz w:val="24"/>
                <w:szCs w:val="21"/>
                <w:bdr w:val="none" w:color="auto" w:sz="0" w:space="0"/>
                <w:lang w:val="en-US" w:eastAsia="zh-CN" w:bidi="ar"/>
              </w:rPr>
              <w:t>处理决定数量</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6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行政处罚</w:t>
            </w:r>
          </w:p>
        </w:tc>
        <w:tc>
          <w:tcPr>
            <w:tcW w:w="196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162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202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6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行政强制</w:t>
            </w:r>
          </w:p>
        </w:tc>
        <w:tc>
          <w:tcPr>
            <w:tcW w:w="196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162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2028"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8290" w:type="dxa"/>
            <w:gridSpan w:val="4"/>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第二十条第（八）项</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6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信息内容</w:t>
            </w:r>
          </w:p>
        </w:tc>
        <w:tc>
          <w:tcPr>
            <w:tcW w:w="196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jc w:val="center"/>
            </w:pPr>
            <w:r>
              <w:rPr>
                <w:rFonts w:hint="eastAsia" w:ascii="微软雅黑" w:hAnsi="微软雅黑" w:eastAsia="微软雅黑" w:cs="宋体"/>
                <w:kern w:val="0"/>
                <w:sz w:val="24"/>
                <w:szCs w:val="21"/>
                <w:bdr w:val="none" w:color="auto" w:sz="0" w:space="0"/>
                <w:lang w:val="en-US" w:eastAsia="zh-CN" w:bidi="ar"/>
              </w:rPr>
              <w:t>上一年项目数量</w:t>
            </w:r>
          </w:p>
        </w:tc>
        <w:tc>
          <w:tcPr>
            <w:tcW w:w="3656"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jc w:val="center"/>
            </w:pPr>
            <w:r>
              <w:rPr>
                <w:rFonts w:hint="eastAsia" w:ascii="微软雅黑" w:hAnsi="微软雅黑" w:eastAsia="微软雅黑" w:cs="宋体"/>
                <w:kern w:val="0"/>
                <w:sz w:val="24"/>
                <w:szCs w:val="21"/>
                <w:bdr w:val="none" w:color="auto" w:sz="0" w:space="0"/>
                <w:lang w:val="en-US" w:eastAsia="zh-CN" w:bidi="ar"/>
              </w:rPr>
              <w:t>本年增/减</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6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行政事业性收费</w:t>
            </w:r>
          </w:p>
        </w:tc>
        <w:tc>
          <w:tcPr>
            <w:tcW w:w="196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3656"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8290" w:type="dxa"/>
            <w:gridSpan w:val="4"/>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第二十条第（九）项</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6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center"/>
            </w:pPr>
            <w:r>
              <w:rPr>
                <w:rFonts w:hint="eastAsia" w:ascii="微软雅黑" w:hAnsi="微软雅黑" w:eastAsia="微软雅黑" w:cs="宋体"/>
                <w:kern w:val="0"/>
                <w:sz w:val="24"/>
                <w:szCs w:val="21"/>
                <w:bdr w:val="none" w:color="auto" w:sz="0" w:space="0"/>
                <w:lang w:val="en-US" w:eastAsia="zh-CN" w:bidi="ar"/>
              </w:rPr>
              <w:t>　　信息内容</w:t>
            </w:r>
          </w:p>
        </w:tc>
        <w:tc>
          <w:tcPr>
            <w:tcW w:w="196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jc w:val="center"/>
            </w:pPr>
            <w:r>
              <w:rPr>
                <w:rFonts w:hint="eastAsia" w:ascii="微软雅黑" w:hAnsi="微软雅黑" w:eastAsia="微软雅黑" w:cs="宋体"/>
                <w:kern w:val="0"/>
                <w:sz w:val="24"/>
                <w:szCs w:val="21"/>
                <w:bdr w:val="none" w:color="auto" w:sz="0" w:space="0"/>
                <w:lang w:val="en-US" w:eastAsia="zh-CN" w:bidi="ar"/>
              </w:rPr>
              <w:t>采购项目数量</w:t>
            </w:r>
          </w:p>
        </w:tc>
        <w:tc>
          <w:tcPr>
            <w:tcW w:w="3656"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jc w:val="center"/>
            </w:pPr>
            <w:r>
              <w:rPr>
                <w:rFonts w:hint="eastAsia" w:ascii="微软雅黑" w:hAnsi="微软雅黑" w:eastAsia="微软雅黑" w:cs="宋体"/>
                <w:kern w:val="0"/>
                <w:sz w:val="24"/>
                <w:szCs w:val="21"/>
                <w:bdr w:val="none" w:color="auto" w:sz="0" w:space="0"/>
                <w:lang w:val="en-US" w:eastAsia="zh-CN" w:bidi="ar"/>
              </w:rPr>
              <w:t>采购总金额（元）</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266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政府集中采购</w:t>
            </w:r>
          </w:p>
        </w:tc>
        <w:tc>
          <w:tcPr>
            <w:tcW w:w="196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7</w:t>
            </w:r>
          </w:p>
        </w:tc>
        <w:tc>
          <w:tcPr>
            <w:tcW w:w="3656"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21930</w:t>
            </w:r>
          </w:p>
        </w:tc>
      </w:tr>
    </w:tbl>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4"/>
          <w:lang w:val="en-US" w:eastAsia="zh-CN" w:bidi="ar"/>
        </w:rPr>
        <w:t xml:space="preserve"> </w:t>
      </w:r>
      <w:r>
        <w:rPr>
          <w:rFonts w:hint="eastAsia" w:ascii="黑体" w:hAnsi="宋体" w:eastAsia="黑体" w:cs="黑体"/>
          <w:kern w:val="0"/>
          <w:sz w:val="32"/>
          <w:szCs w:val="32"/>
          <w:lang w:val="en-US" w:eastAsia="zh-CN" w:bidi="ar"/>
        </w:rPr>
        <w:t>三、收到和处理政府信息公开申请情况</w:t>
      </w:r>
    </w:p>
    <w:tbl>
      <w:tblPr>
        <w:tblW w:w="0" w:type="auto"/>
        <w:jc w:val="center"/>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474"/>
        <w:gridCol w:w="828"/>
        <w:gridCol w:w="1915"/>
        <w:gridCol w:w="749"/>
        <w:gridCol w:w="697"/>
        <w:gridCol w:w="697"/>
        <w:gridCol w:w="749"/>
        <w:gridCol w:w="893"/>
        <w:gridCol w:w="657"/>
        <w:gridCol w:w="631"/>
      </w:tblGrid>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3217" w:type="dxa"/>
            <w:gridSpan w:val="3"/>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（本列数据的勾稽关系为：第一项加第二项之和，等于第三项加第四项之和）</w:t>
            </w:r>
          </w:p>
        </w:tc>
        <w:tc>
          <w:tcPr>
            <w:tcW w:w="5073" w:type="dxa"/>
            <w:gridSpan w:val="7"/>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申请人情况</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217" w:type="dxa"/>
            <w:gridSpan w:val="3"/>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749"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jc w:val="left"/>
            </w:pPr>
            <w:r>
              <w:rPr>
                <w:rFonts w:hint="eastAsia" w:ascii="微软雅黑" w:hAnsi="微软雅黑" w:eastAsia="微软雅黑" w:cs="宋体"/>
                <w:kern w:val="0"/>
                <w:sz w:val="24"/>
                <w:szCs w:val="21"/>
                <w:bdr w:val="none" w:color="auto" w:sz="0" w:space="0"/>
                <w:lang w:val="en-US" w:eastAsia="zh-CN" w:bidi="ar"/>
              </w:rPr>
              <w:t>自然人</w:t>
            </w:r>
          </w:p>
        </w:tc>
        <w:tc>
          <w:tcPr>
            <w:tcW w:w="3693" w:type="dxa"/>
            <w:gridSpan w:val="5"/>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法人或其他组织</w:t>
            </w:r>
          </w:p>
        </w:tc>
        <w:tc>
          <w:tcPr>
            <w:tcW w:w="631"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总计</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217" w:type="dxa"/>
            <w:gridSpan w:val="3"/>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749"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jc w:val="left"/>
            </w:pPr>
            <w:r>
              <w:rPr>
                <w:rFonts w:hint="eastAsia" w:ascii="微软雅黑" w:hAnsi="微软雅黑" w:eastAsia="微软雅黑" w:cs="宋体"/>
                <w:kern w:val="0"/>
                <w:sz w:val="24"/>
                <w:szCs w:val="21"/>
                <w:bdr w:val="none" w:color="auto" w:sz="0" w:space="0"/>
                <w:lang w:val="en-US" w:eastAsia="zh-CN" w:bidi="ar"/>
              </w:rPr>
              <w:t>商业企业</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jc w:val="left"/>
            </w:pPr>
            <w:r>
              <w:rPr>
                <w:rFonts w:hint="eastAsia" w:ascii="微软雅黑" w:hAnsi="微软雅黑" w:eastAsia="微软雅黑" w:cs="宋体"/>
                <w:kern w:val="0"/>
                <w:sz w:val="24"/>
                <w:szCs w:val="21"/>
                <w:bdr w:val="none" w:color="auto" w:sz="0" w:space="0"/>
                <w:lang w:val="en-US" w:eastAsia="zh-CN" w:bidi="ar"/>
              </w:rPr>
              <w:t>科研机构</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jc w:val="left"/>
            </w:pPr>
            <w:r>
              <w:rPr>
                <w:rFonts w:hint="eastAsia" w:ascii="微软雅黑" w:hAnsi="微软雅黑" w:eastAsia="微软雅黑" w:cs="宋体"/>
                <w:kern w:val="0"/>
                <w:sz w:val="24"/>
                <w:szCs w:val="21"/>
                <w:bdr w:val="none" w:color="auto" w:sz="0" w:space="0"/>
                <w:lang w:val="en-US" w:eastAsia="zh-CN" w:bidi="ar"/>
              </w:rPr>
              <w:t>社会公益组织</w:t>
            </w:r>
          </w:p>
        </w:tc>
        <w:tc>
          <w:tcPr>
            <w:tcW w:w="89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jc w:val="left"/>
            </w:pPr>
            <w:r>
              <w:rPr>
                <w:rFonts w:hint="eastAsia" w:ascii="微软雅黑" w:hAnsi="微软雅黑" w:eastAsia="微软雅黑" w:cs="宋体"/>
                <w:kern w:val="0"/>
                <w:sz w:val="24"/>
                <w:szCs w:val="21"/>
                <w:bdr w:val="none" w:color="auto" w:sz="0" w:space="0"/>
                <w:lang w:val="en-US" w:eastAsia="zh-CN" w:bidi="ar"/>
              </w:rPr>
              <w:t>法律服务机构</w:t>
            </w:r>
          </w:p>
        </w:tc>
        <w:tc>
          <w:tcPr>
            <w:tcW w:w="65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jc w:val="left"/>
            </w:pPr>
            <w:r>
              <w:rPr>
                <w:rFonts w:hint="eastAsia" w:ascii="微软雅黑" w:hAnsi="微软雅黑" w:eastAsia="微软雅黑" w:cs="宋体"/>
                <w:kern w:val="0"/>
                <w:sz w:val="24"/>
                <w:szCs w:val="21"/>
                <w:bdr w:val="none" w:color="auto" w:sz="0" w:space="0"/>
                <w:lang w:val="en-US" w:eastAsia="zh-CN" w:bidi="ar"/>
              </w:rPr>
              <w:t>其他</w:t>
            </w:r>
          </w:p>
        </w:tc>
        <w:tc>
          <w:tcPr>
            <w:tcW w:w="631"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217" w:type="dxa"/>
            <w:gridSpan w:val="3"/>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jc w:val="left"/>
            </w:pPr>
            <w:r>
              <w:rPr>
                <w:rFonts w:hint="eastAsia" w:ascii="微软雅黑" w:hAnsi="微软雅黑" w:eastAsia="微软雅黑" w:cs="宋体"/>
                <w:kern w:val="0"/>
                <w:sz w:val="24"/>
                <w:szCs w:val="21"/>
                <w:bdr w:val="none" w:color="auto" w:sz="0" w:space="0"/>
                <w:lang w:val="en-US" w:eastAsia="zh-CN" w:bidi="ar"/>
              </w:rPr>
              <w:t>一、本年新收政府信息公开申请数量</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89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5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3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217" w:type="dxa"/>
            <w:gridSpan w:val="3"/>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jc w:val="left"/>
            </w:pPr>
            <w:r>
              <w:rPr>
                <w:rFonts w:hint="eastAsia" w:ascii="微软雅黑" w:hAnsi="微软雅黑" w:eastAsia="微软雅黑" w:cs="宋体"/>
                <w:kern w:val="0"/>
                <w:sz w:val="24"/>
                <w:szCs w:val="21"/>
                <w:bdr w:val="none" w:color="auto" w:sz="0" w:space="0"/>
                <w:lang w:val="en-US" w:eastAsia="zh-CN" w:bidi="ar"/>
              </w:rPr>
              <w:t>二、上年结转政府信息公开申请数量</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89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5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3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4"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三、本年度办理结果</w:t>
            </w:r>
          </w:p>
        </w:tc>
        <w:tc>
          <w:tcPr>
            <w:tcW w:w="2743"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（一）予以公开</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89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5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3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743"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（二）部分公开（区分处理的，只计这一情形，不计其他情形）</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89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5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3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28"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（三）不予公开</w:t>
            </w:r>
          </w:p>
        </w:tc>
        <w:tc>
          <w:tcPr>
            <w:tcW w:w="191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1.属于国家秘密</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89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5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3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2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1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2.其他法律行政法规禁止公开</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89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5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3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2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1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3.危及“三安全一稳定”</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89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5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3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2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1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4.保护第三方合法权益</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89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5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3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2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1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5.属于三类内部事务信息</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89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5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3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2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1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6.属于四类过程性信息</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89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5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3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2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1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7.属于行政执法案卷</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89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5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3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2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1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8.属于行政查询事项</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89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5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3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28"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（四）无法提供</w:t>
            </w:r>
          </w:p>
        </w:tc>
        <w:tc>
          <w:tcPr>
            <w:tcW w:w="191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1.本机关不掌握相关政府信息</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89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5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3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2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1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2.没有现成信息需要另行制作</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89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5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3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2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1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3.补正后申请内容仍不明确</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89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5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3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28"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（五）不予处理</w:t>
            </w:r>
          </w:p>
        </w:tc>
        <w:tc>
          <w:tcPr>
            <w:tcW w:w="191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1.信访举报投诉类申请</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89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5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3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2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1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2.重复申请</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89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5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3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2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1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3.要求提供公开出版物</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89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5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3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2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1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4.无正当理由大量反复申请</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89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5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3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828"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1915"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5.要求行政机关确认或重新出具已获取信息</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89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5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3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743"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（六）其他处理</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89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5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3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474"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2743" w:type="dxa"/>
            <w:gridSpan w:val="2"/>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（七）总计</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89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5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3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3217" w:type="dxa"/>
            <w:gridSpan w:val="3"/>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四、结转下年度继续办理</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9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74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893"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57"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63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r>
    </w:tbl>
    <w:p>
      <w:pPr>
        <w:keepNext w:val="0"/>
        <w:keepLines w:val="0"/>
        <w:widowControl/>
        <w:suppressLineNumbers w:val="0"/>
        <w:spacing w:beforeAutospacing="1" w:afterAutospacing="1" w:line="520" w:lineRule="exact"/>
        <w:ind w:left="0" w:right="0"/>
        <w:jc w:val="left"/>
      </w:pPr>
      <w:r>
        <w:rPr>
          <w:rFonts w:hint="eastAsia" w:ascii="黑体" w:hAnsi="宋体" w:eastAsia="黑体" w:cs="黑体"/>
          <w:kern w:val="0"/>
          <w:sz w:val="32"/>
          <w:szCs w:val="32"/>
          <w:lang w:val="en-US" w:eastAsia="zh-CN" w:bidi="ar"/>
        </w:rPr>
        <w:t xml:space="preserve">  四、政府信息公开行政复议、行政诉讼情况</w:t>
      </w:r>
    </w:p>
    <w:tbl>
      <w:tblPr>
        <w:tblW w:w="0" w:type="auto"/>
        <w:jc w:val="center"/>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542"/>
        <w:gridCol w:w="541"/>
        <w:gridCol w:w="541"/>
        <w:gridCol w:w="541"/>
        <w:gridCol w:w="599"/>
        <w:gridCol w:w="541"/>
        <w:gridCol w:w="541"/>
        <w:gridCol w:w="541"/>
        <w:gridCol w:w="541"/>
        <w:gridCol w:w="599"/>
        <w:gridCol w:w="541"/>
        <w:gridCol w:w="541"/>
        <w:gridCol w:w="541"/>
        <w:gridCol w:w="541"/>
        <w:gridCol w:w="599"/>
      </w:tblGrid>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764" w:type="dxa"/>
            <w:gridSpan w:val="5"/>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行政复议</w:t>
            </w:r>
          </w:p>
        </w:tc>
        <w:tc>
          <w:tcPr>
            <w:tcW w:w="5526" w:type="dxa"/>
            <w:gridSpan w:val="10"/>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行政诉讼</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542"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结果维持</w:t>
            </w:r>
          </w:p>
        </w:tc>
        <w:tc>
          <w:tcPr>
            <w:tcW w:w="541"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结果纠正</w:t>
            </w:r>
          </w:p>
        </w:tc>
        <w:tc>
          <w:tcPr>
            <w:tcW w:w="541"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其他结果</w:t>
            </w:r>
          </w:p>
        </w:tc>
        <w:tc>
          <w:tcPr>
            <w:tcW w:w="541"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尚未审结</w:t>
            </w:r>
          </w:p>
        </w:tc>
        <w:tc>
          <w:tcPr>
            <w:tcW w:w="599" w:type="dxa"/>
            <w:vMerge w:val="restart"/>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总计</w:t>
            </w:r>
          </w:p>
        </w:tc>
        <w:tc>
          <w:tcPr>
            <w:tcW w:w="2763" w:type="dxa"/>
            <w:gridSpan w:val="5"/>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未经复议直接起诉</w:t>
            </w:r>
          </w:p>
        </w:tc>
        <w:tc>
          <w:tcPr>
            <w:tcW w:w="2763" w:type="dxa"/>
            <w:gridSpan w:val="5"/>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复议后起诉</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542"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41"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41"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41"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99" w:type="dxa"/>
            <w:vMerge w:val="continue"/>
            <w:tcBorders>
              <w:top w:val="inset" w:color="000000" w:sz="6" w:space="0"/>
              <w:left w:val="inset" w:color="000000" w:sz="6" w:space="0"/>
              <w:bottom w:val="inset" w:color="000000" w:sz="6" w:space="0"/>
              <w:right w:val="inset" w:color="000000" w:sz="6" w:space="0"/>
            </w:tcBorders>
            <w:shd w:val="clear"/>
            <w:vAlign w:val="center"/>
          </w:tcPr>
          <w:p>
            <w:pPr>
              <w:rPr>
                <w:rFonts w:hint="eastAsia" w:ascii="宋体" w:hAnsi="宋体" w:eastAsia="宋体" w:cs="宋体"/>
                <w:sz w:val="24"/>
                <w:szCs w:val="24"/>
              </w:rPr>
            </w:pPr>
          </w:p>
        </w:tc>
        <w:tc>
          <w:tcPr>
            <w:tcW w:w="54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结果维持</w:t>
            </w:r>
          </w:p>
        </w:tc>
        <w:tc>
          <w:tcPr>
            <w:tcW w:w="54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结果纠正</w:t>
            </w:r>
          </w:p>
        </w:tc>
        <w:tc>
          <w:tcPr>
            <w:tcW w:w="54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其他结果</w:t>
            </w:r>
          </w:p>
        </w:tc>
        <w:tc>
          <w:tcPr>
            <w:tcW w:w="54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尚未审结</w:t>
            </w:r>
          </w:p>
        </w:tc>
        <w:tc>
          <w:tcPr>
            <w:tcW w:w="5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总计</w:t>
            </w:r>
          </w:p>
        </w:tc>
        <w:tc>
          <w:tcPr>
            <w:tcW w:w="54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结果维持</w:t>
            </w:r>
          </w:p>
        </w:tc>
        <w:tc>
          <w:tcPr>
            <w:tcW w:w="54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结果纠正</w:t>
            </w:r>
          </w:p>
        </w:tc>
        <w:tc>
          <w:tcPr>
            <w:tcW w:w="54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其他结果</w:t>
            </w:r>
          </w:p>
        </w:tc>
        <w:tc>
          <w:tcPr>
            <w:tcW w:w="54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尚未审结</w:t>
            </w:r>
          </w:p>
        </w:tc>
        <w:tc>
          <w:tcPr>
            <w:tcW w:w="5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总计</w:t>
            </w:r>
          </w:p>
        </w:tc>
      </w:tr>
      <w:tr>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jc w:val="center"/>
        </w:trPr>
        <w:tc>
          <w:tcPr>
            <w:tcW w:w="542"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54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54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54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5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54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54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54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54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5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54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54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54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541"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c>
          <w:tcPr>
            <w:tcW w:w="599" w:type="dxa"/>
            <w:tcBorders>
              <w:top w:val="inset" w:color="000000" w:sz="6" w:space="0"/>
              <w:left w:val="inset" w:color="000000" w:sz="6" w:space="0"/>
              <w:bottom w:val="inset" w:color="000000" w:sz="6" w:space="0"/>
              <w:right w:val="inset" w:color="000000" w:sz="6" w:space="0"/>
            </w:tcBorders>
            <w:shd w:val="clear"/>
            <w:vAlign w:val="center"/>
          </w:tcPr>
          <w:p>
            <w:pPr>
              <w:keepNext w:val="0"/>
              <w:keepLines w:val="0"/>
              <w:widowControl/>
              <w:suppressLineNumbers w:val="0"/>
              <w:spacing w:beforeAutospacing="1" w:afterAutospacing="1" w:line="520" w:lineRule="exact"/>
              <w:ind w:left="0" w:right="0" w:firstLine="480" w:firstLineChars="200"/>
              <w:jc w:val="left"/>
            </w:pPr>
            <w:r>
              <w:rPr>
                <w:rFonts w:hint="eastAsia" w:ascii="微软雅黑" w:hAnsi="微软雅黑" w:eastAsia="微软雅黑" w:cs="宋体"/>
                <w:kern w:val="0"/>
                <w:sz w:val="24"/>
                <w:szCs w:val="21"/>
                <w:bdr w:val="none" w:color="auto" w:sz="0" w:space="0"/>
                <w:lang w:val="en-US" w:eastAsia="zh-CN" w:bidi="ar"/>
              </w:rPr>
              <w:t> 0</w:t>
            </w:r>
          </w:p>
        </w:tc>
      </w:tr>
    </w:tbl>
    <w:p>
      <w:pPr>
        <w:keepNext w:val="0"/>
        <w:keepLines w:val="0"/>
        <w:widowControl/>
        <w:suppressLineNumbers w:val="0"/>
        <w:spacing w:beforeAutospacing="1" w:afterAutospacing="1" w:line="520" w:lineRule="exact"/>
        <w:ind w:left="0" w:right="0"/>
        <w:jc w:val="left"/>
      </w:pPr>
      <w:r>
        <w:rPr>
          <w:rFonts w:hint="eastAsia" w:ascii="黑体" w:hAnsi="宋体" w:eastAsia="黑体" w:cs="黑体"/>
          <w:kern w:val="0"/>
          <w:sz w:val="32"/>
          <w:szCs w:val="32"/>
          <w:lang w:val="en-US" w:eastAsia="zh-CN" w:bidi="ar"/>
        </w:rPr>
        <w:t> </w:t>
      </w:r>
    </w:p>
    <w:p>
      <w:pPr>
        <w:keepNext w:val="0"/>
        <w:keepLines w:val="0"/>
        <w:widowControl/>
        <w:suppressLineNumbers w:val="0"/>
        <w:spacing w:beforeAutospacing="1" w:afterAutospacing="1" w:line="520" w:lineRule="exact"/>
        <w:ind w:left="0" w:right="0" w:firstLine="640" w:firstLineChars="200"/>
        <w:jc w:val="left"/>
      </w:pPr>
      <w:r>
        <w:rPr>
          <w:rFonts w:hint="eastAsia" w:ascii="黑体" w:hAnsi="宋体" w:eastAsia="黑体" w:cs="黑体"/>
          <w:kern w:val="0"/>
          <w:sz w:val="32"/>
          <w:szCs w:val="32"/>
          <w:lang w:val="en-US" w:eastAsia="zh-CN" w:bidi="ar"/>
        </w:rPr>
        <w:t>五、存在的主要问题及改进情况</w:t>
      </w:r>
    </w:p>
    <w:p>
      <w:pPr>
        <w:keepNext w:val="0"/>
        <w:keepLines w:val="0"/>
        <w:widowControl/>
        <w:suppressLineNumbers w:val="0"/>
        <w:shd w:val="solid" w:color="FFFFFF" w:fill="auto"/>
        <w:spacing w:beforeAutospacing="1" w:afterAutospacing="1" w:line="520" w:lineRule="exact"/>
        <w:ind w:left="0" w:right="0" w:firstLine="643" w:firstLineChars="200"/>
        <w:jc w:val="left"/>
      </w:pPr>
      <w:r>
        <w:rPr>
          <w:rFonts w:hint="eastAsia" w:ascii="仿宋_GB2312" w:hAnsi="仿宋_GB2312" w:eastAsia="仿宋_GB2312" w:cs="仿宋_GB2312"/>
          <w:b/>
          <w:bCs/>
          <w:kern w:val="0"/>
          <w:sz w:val="32"/>
          <w:szCs w:val="32"/>
          <w:shd w:val="clear" w:fill="FFFFFF"/>
          <w:lang w:val="en-US" w:eastAsia="zh-CN" w:bidi="ar"/>
        </w:rPr>
        <w:t>存在问题：</w:t>
      </w:r>
      <w:r>
        <w:rPr>
          <w:rFonts w:hint="eastAsia" w:ascii="仿宋_GB2312" w:hAnsi="仿宋_GB2312" w:eastAsia="仿宋_GB2312" w:cs="仿宋_GB2312"/>
          <w:kern w:val="0"/>
          <w:sz w:val="32"/>
          <w:szCs w:val="32"/>
          <w:shd w:val="clear" w:fill="FFFFFF"/>
          <w:lang w:val="en-US" w:eastAsia="zh-CN" w:bidi="ar"/>
        </w:rPr>
        <w:t>对上级部门文件的要求理解不够透彻；宣传范围内容局限；部分栏目发布信息数量较少，发布质量有待提升。</w:t>
      </w:r>
    </w:p>
    <w:p>
      <w:pPr>
        <w:keepNext w:val="0"/>
        <w:keepLines w:val="0"/>
        <w:widowControl/>
        <w:suppressLineNumbers w:val="0"/>
        <w:shd w:val="solid" w:color="FFFFFF" w:fill="auto"/>
        <w:spacing w:beforeAutospacing="1" w:afterAutospacing="1" w:line="520" w:lineRule="exact"/>
        <w:ind w:left="0" w:right="0" w:firstLine="643" w:firstLineChars="200"/>
        <w:jc w:val="left"/>
      </w:pPr>
      <w:r>
        <w:rPr>
          <w:rFonts w:hint="eastAsia" w:ascii="仿宋_GB2312" w:hAnsi="仿宋_GB2312" w:eastAsia="仿宋_GB2312" w:cs="仿宋_GB2312"/>
          <w:b/>
          <w:bCs/>
          <w:kern w:val="0"/>
          <w:sz w:val="32"/>
          <w:szCs w:val="32"/>
          <w:shd w:val="clear" w:fill="FFFFFF"/>
          <w:lang w:val="en-US" w:eastAsia="zh-CN" w:bidi="ar"/>
        </w:rPr>
        <w:t>整改措施：</w:t>
      </w:r>
      <w:r>
        <w:rPr>
          <w:rFonts w:hint="eastAsia" w:ascii="仿宋_GB2312" w:hAnsi="仿宋_GB2312" w:eastAsia="仿宋_GB2312" w:cs="仿宋_GB2312"/>
          <w:kern w:val="0"/>
          <w:sz w:val="32"/>
          <w:szCs w:val="32"/>
          <w:shd w:val="clear" w:fill="FFFFFF"/>
          <w:lang w:val="en-US" w:eastAsia="zh-CN" w:bidi="ar"/>
        </w:rPr>
        <w:t>针对政府信息公开工作中存在问题，中赤镇将根据上级的统一安排部署，认真查找并纠正问题，努力克服和解决困难，有序有效推进政府信息公开工作开展。将日常维护工作中存在的问题积极与县政府办和各乡镇进行交流学习，及时更新栏目，规范信息发布。统一认识，努力规范流程。对发布内容严格把关，使此项工作更公开、更透明、更高效、更及时，提高发布信息的质量。</w:t>
      </w:r>
    </w:p>
    <w:p>
      <w:pPr>
        <w:keepNext w:val="0"/>
        <w:keepLines w:val="0"/>
        <w:widowControl/>
        <w:suppressLineNumbers w:val="0"/>
        <w:shd w:val="solid" w:color="FFFFFF" w:fill="auto"/>
        <w:spacing w:beforeAutospacing="1" w:afterAutospacing="1" w:line="520" w:lineRule="exact"/>
        <w:ind w:left="0" w:right="0" w:firstLine="640" w:firstLineChars="200"/>
        <w:jc w:val="left"/>
      </w:pPr>
      <w:r>
        <w:rPr>
          <w:rFonts w:hint="eastAsia" w:ascii="仿宋_GB2312" w:hAnsi="仿宋_GB2312" w:eastAsia="仿宋_GB2312" w:cs="仿宋_GB2312"/>
          <w:kern w:val="0"/>
          <w:sz w:val="32"/>
          <w:szCs w:val="32"/>
          <w:shd w:val="clear" w:fill="FFFFFF"/>
          <w:lang w:val="en-US" w:eastAsia="zh-CN" w:bidi="ar"/>
        </w:rPr>
        <w:t>在日后的工作中我镇将加强栏目自查工作，做到不缺不漏。进一步梳理政府信息，逐步扩大公开内容，对原有的发布条数较少的栏目进行补充完善，确保信息公开的完整性和准确性。</w:t>
      </w:r>
    </w:p>
    <w:p>
      <w:pPr>
        <w:keepNext w:val="0"/>
        <w:keepLines w:val="0"/>
        <w:widowControl/>
        <w:suppressLineNumbers w:val="0"/>
        <w:spacing w:beforeAutospacing="1" w:afterAutospacing="1" w:line="520" w:lineRule="exact"/>
        <w:ind w:left="0" w:right="0"/>
        <w:jc w:val="left"/>
      </w:pPr>
      <w:r>
        <w:rPr>
          <w:rFonts w:hint="eastAsia" w:ascii="仿宋_GB2312" w:hAnsi="仿宋_GB2312" w:eastAsia="仿宋_GB2312" w:cs="仿宋_GB2312"/>
          <w:kern w:val="0"/>
          <w:sz w:val="32"/>
          <w:szCs w:val="32"/>
          <w:lang w:val="en-US" w:eastAsia="zh-CN" w:bidi="ar"/>
        </w:rPr>
        <w:t xml:space="preserve">    </w:t>
      </w:r>
      <w:r>
        <w:rPr>
          <w:rFonts w:hint="eastAsia" w:ascii="黑体" w:hAnsi="宋体" w:eastAsia="黑体" w:cs="黑体"/>
          <w:kern w:val="0"/>
          <w:sz w:val="32"/>
          <w:szCs w:val="32"/>
          <w:lang w:val="en-US" w:eastAsia="zh-CN" w:bidi="ar"/>
        </w:rPr>
        <w:t>六、其他需要报告的事项</w:t>
      </w:r>
    </w:p>
    <w:p>
      <w:pPr>
        <w:keepNext w:val="0"/>
        <w:keepLines w:val="0"/>
        <w:widowControl/>
        <w:suppressLineNumbers w:val="0"/>
        <w:shd w:val="solid" w:color="FFFFFF" w:fill="auto"/>
        <w:wordWrap w:val="0"/>
        <w:spacing w:beforeAutospacing="1" w:afterAutospacing="1" w:line="520" w:lineRule="exact"/>
        <w:ind w:left="0" w:right="0" w:firstLine="640" w:firstLineChars="200"/>
        <w:jc w:val="left"/>
      </w:pPr>
      <w:r>
        <w:rPr>
          <w:rFonts w:hint="eastAsia" w:ascii="仿宋_GB2312" w:hAnsi="仿宋_GB2312" w:eastAsia="仿宋_GB2312" w:cs="仿宋_GB2312"/>
          <w:kern w:val="0"/>
          <w:sz w:val="32"/>
          <w:szCs w:val="32"/>
          <w:shd w:val="solid" w:color="FFFFFF" w:fill="auto"/>
          <w:lang w:val="en-US" w:eastAsia="zh-CN" w:bidi="ar"/>
        </w:rPr>
        <w:t>2020年度中赤镇无其他需要报告的事项。</w:t>
      </w:r>
    </w:p>
    <w:p>
      <w:pPr>
        <w:keepNext w:val="0"/>
        <w:keepLines w:val="0"/>
        <w:widowControl/>
        <w:suppressLineNumbers w:val="0"/>
        <w:shd w:val="solid" w:color="FFFFFF" w:fill="auto"/>
        <w:wordWrap w:val="0"/>
        <w:spacing w:beforeAutospacing="1" w:afterAutospacing="1" w:line="540" w:lineRule="exact"/>
        <w:ind w:left="0" w:right="0" w:firstLine="640" w:firstLineChars="200"/>
        <w:jc w:val="left"/>
      </w:pPr>
      <w:r>
        <w:rPr>
          <w:rFonts w:hint="eastAsia" w:ascii="仿宋_GB2312" w:hAnsi="仿宋_GB2312" w:eastAsia="仿宋_GB2312" w:cs="仿宋_GB2312"/>
          <w:kern w:val="0"/>
          <w:sz w:val="32"/>
          <w:szCs w:val="32"/>
          <w:shd w:val="solid" w:color="FFFFFF" w:fill="auto"/>
          <w:lang w:val="en-US" w:eastAsia="zh-CN" w:bidi="ar"/>
        </w:rPr>
        <w:t> </w:t>
      </w:r>
    </w:p>
    <w:p>
      <w:pPr>
        <w:keepNext w:val="0"/>
        <w:keepLines w:val="0"/>
        <w:widowControl/>
        <w:suppressLineNumbers w:val="0"/>
        <w:shd w:val="solid" w:color="FFFFFF" w:fill="auto"/>
        <w:wordWrap w:val="0"/>
        <w:spacing w:beforeAutospacing="1" w:afterAutospacing="1" w:line="540" w:lineRule="exact"/>
        <w:ind w:left="0" w:right="0" w:firstLine="640" w:firstLineChars="200"/>
        <w:jc w:val="left"/>
      </w:pPr>
      <w:r>
        <w:rPr>
          <w:rFonts w:hint="eastAsia" w:ascii="仿宋_GB2312" w:hAnsi="仿宋_GB2312" w:eastAsia="仿宋_GB2312" w:cs="仿宋_GB2312"/>
          <w:kern w:val="0"/>
          <w:sz w:val="32"/>
          <w:szCs w:val="32"/>
          <w:shd w:val="solid" w:color="FFFFFF" w:fill="auto"/>
          <w:lang w:val="en-US" w:eastAsia="zh-CN" w:bidi="ar"/>
        </w:rPr>
        <w:t> </w:t>
      </w:r>
    </w:p>
    <w:p>
      <w:pPr>
        <w:keepNext w:val="0"/>
        <w:keepLines w:val="0"/>
        <w:widowControl/>
        <w:suppressLineNumbers w:val="0"/>
        <w:shd w:val="solid" w:color="FFFFFF" w:fill="auto"/>
        <w:wordWrap w:val="0"/>
        <w:spacing w:beforeAutospacing="1" w:afterAutospacing="1" w:line="540" w:lineRule="exact"/>
        <w:ind w:left="0" w:right="0"/>
        <w:jc w:val="center"/>
      </w:pPr>
      <w:r>
        <w:rPr>
          <w:rFonts w:hint="eastAsia" w:ascii="仿宋_GB2312" w:hAnsi="仿宋_GB2312" w:eastAsia="仿宋_GB2312" w:cs="仿宋_GB2312"/>
          <w:spacing w:val="20"/>
          <w:kern w:val="0"/>
          <w:sz w:val="32"/>
          <w:szCs w:val="32"/>
          <w:shd w:val="solid" w:color="FFFFFF" w:fill="auto"/>
          <w:lang w:val="en-US" w:eastAsia="zh-CN" w:bidi="ar"/>
        </w:rPr>
        <w:t xml:space="preserve">                           中赤镇人民政府 </w:t>
      </w:r>
    </w:p>
    <w:p>
      <w:pPr>
        <w:keepNext w:val="0"/>
        <w:keepLines w:val="0"/>
        <w:widowControl/>
        <w:suppressLineNumbers w:val="0"/>
        <w:shd w:val="solid" w:color="FFFFFF" w:fill="auto"/>
        <w:wordWrap w:val="0"/>
        <w:spacing w:beforeAutospacing="1" w:afterAutospacing="1" w:line="540" w:lineRule="exact"/>
        <w:ind w:left="0" w:right="0"/>
        <w:jc w:val="center"/>
      </w:pPr>
      <w:r>
        <w:rPr>
          <w:rFonts w:hint="eastAsia" w:ascii="仿宋_GB2312" w:hAnsi="仿宋_GB2312" w:eastAsia="仿宋_GB2312" w:cs="仿宋_GB2312"/>
          <w:kern w:val="0"/>
          <w:sz w:val="32"/>
          <w:szCs w:val="32"/>
          <w:shd w:val="solid" w:color="FFFFFF" w:fill="auto"/>
          <w:lang w:val="en-US" w:eastAsia="zh-CN" w:bidi="ar"/>
        </w:rPr>
        <w:t xml:space="preserve">                                 2020年1月26日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E8D56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2021-04-20T02:37:06Z</dcterms:created>
  <dc:creator>Administrator</dc:creator>
  <cp:lastModifiedBy>ln</cp:lastModifiedBy>
  <dcterms:modified xsi:type="dcterms:W3CDTF">2021-04-20T02:37:16Z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551C2548913A4823A8FF7F93EC67F121</vt:lpwstr>
  </property>
</Properties>
</file>