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p>
    <w:p>
      <w:pPr>
        <w:keepNext w:val="0"/>
        <w:keepLines w:val="0"/>
        <w:widowControl/>
        <w:suppressLineNumbers w:val="0"/>
        <w:spacing w:beforeAutospacing="1" w:afterAutospacing="1"/>
        <w:ind w:left="0" w:right="0"/>
        <w:jc w:val="center"/>
      </w:pPr>
      <w:r>
        <w:rPr>
          <w:rFonts w:ascii="方正小标宋简体" w:hAnsi="方正小标宋简体" w:eastAsia="方正小标宋简体" w:cs="方正小标宋简体"/>
          <w:kern w:val="0"/>
          <w:sz w:val="44"/>
          <w:szCs w:val="44"/>
          <w:lang w:val="en-US" w:eastAsia="zh-CN" w:bidi="ar"/>
        </w:rPr>
        <w:t>武东镇2020年政府信息公开工作年度报告</w:t>
      </w:r>
    </w:p>
    <w:p>
      <w:pPr>
        <w:keepNext w:val="0"/>
        <w:keepLines w:val="0"/>
        <w:widowControl/>
        <w:suppressLineNumbers w:val="0"/>
        <w:spacing w:before="0" w:beforeAutospacing="1" w:after="0" w:afterAutospacing="1" w:line="420" w:lineRule="auto"/>
        <w:ind w:left="0" w:right="0" w:firstLine="640" w:firstLineChars="200"/>
        <w:jc w:val="left"/>
      </w:pPr>
      <w:r>
        <w:rPr>
          <w:rFonts w:ascii="仿宋_GB2312" w:hAnsi="仿宋_GB2312" w:eastAsia="仿宋_GB2312" w:cs="仿宋_GB2312"/>
          <w:kern w:val="0"/>
          <w:sz w:val="32"/>
          <w:szCs w:val="32"/>
          <w:lang w:val="en-US" w:eastAsia="zh-CN" w:bidi="ar"/>
        </w:rPr>
        <w:t>根据武平县《</w:t>
      </w:r>
      <w:r>
        <w:rPr>
          <w:rFonts w:hint="eastAsia" w:ascii="仿宋_GB2312" w:hAnsi="仿宋_GB2312" w:eastAsia="仿宋_GB2312" w:cs="仿宋_GB2312"/>
          <w:kern w:val="0"/>
          <w:sz w:val="32"/>
          <w:szCs w:val="32"/>
          <w:lang w:val="en-US" w:eastAsia="zh-CN" w:bidi="ar"/>
        </w:rPr>
        <w:t>2020年政府信息公开工作年度报告》的文件要求，对照《2020年政府信息公开工作年度报告提纲》，结合我镇2020年度政府信息公开实际，现将政府信息公开的落实情况汇报如下：</w:t>
      </w:r>
    </w:p>
    <w:p>
      <w:pPr>
        <w:keepNext w:val="0"/>
        <w:keepLines w:val="0"/>
        <w:widowControl/>
        <w:suppressLineNumbers w:val="0"/>
        <w:spacing w:before="0" w:beforeAutospacing="1" w:after="0" w:afterAutospacing="1" w:line="420" w:lineRule="auto"/>
        <w:ind w:left="0" w:right="0" w:firstLine="640" w:firstLineChars="200"/>
        <w:jc w:val="left"/>
      </w:pPr>
      <w:r>
        <w:rPr>
          <w:rFonts w:ascii="黑体" w:hAnsi="宋体" w:eastAsia="黑体" w:cs="黑体"/>
          <w:kern w:val="0"/>
          <w:sz w:val="32"/>
          <w:szCs w:val="32"/>
          <w:lang w:val="en-US" w:eastAsia="zh-CN" w:bidi="ar"/>
        </w:rPr>
        <w:t>一、总体情况</w:t>
      </w:r>
    </w:p>
    <w:p>
      <w:pPr>
        <w:keepNext w:val="0"/>
        <w:keepLines w:val="0"/>
        <w:widowControl/>
        <w:suppressLineNumbers w:val="0"/>
        <w:spacing w:before="0" w:beforeAutospacing="1" w:after="0" w:afterAutospacing="1" w:line="420" w:lineRule="auto"/>
        <w:ind w:left="0" w:right="0"/>
        <w:jc w:val="left"/>
      </w:pPr>
      <w:r>
        <w:rPr>
          <w:rFonts w:hint="eastAsia" w:ascii="黑体" w:hAnsi="宋体" w:eastAsia="黑体" w:cs="黑体"/>
          <w:kern w:val="0"/>
          <w:sz w:val="32"/>
          <w:szCs w:val="32"/>
          <w:lang w:val="en-US" w:eastAsia="zh-CN" w:bidi="ar"/>
        </w:rPr>
        <w:t xml:space="preserve">     </w:t>
      </w:r>
      <w:r>
        <w:rPr>
          <w:rFonts w:ascii="楷体" w:hAnsi="楷体" w:eastAsia="楷体" w:cs="楷体"/>
          <w:kern w:val="0"/>
          <w:sz w:val="32"/>
          <w:szCs w:val="32"/>
          <w:lang w:val="en-US" w:eastAsia="zh-CN" w:bidi="ar"/>
        </w:rPr>
        <w:t>1</w:t>
      </w:r>
      <w:r>
        <w:rPr>
          <w:rFonts w:hint="eastAsia" w:ascii="楷体" w:hAnsi="楷体" w:eastAsia="楷体" w:cs="楷体"/>
          <w:kern w:val="0"/>
          <w:sz w:val="32"/>
          <w:szCs w:val="32"/>
          <w:lang w:val="en-US" w:eastAsia="zh-CN" w:bidi="ar"/>
        </w:rPr>
        <w:t>、政务公开要点落实情况：</w:t>
      </w:r>
    </w:p>
    <w:p>
      <w:pPr>
        <w:keepNext w:val="0"/>
        <w:keepLines w:val="0"/>
        <w:widowControl/>
        <w:suppressLineNumbers w:val="0"/>
        <w:spacing w:before="0" w:beforeAutospacing="1" w:after="0" w:afterAutospacing="1" w:line="420" w:lineRule="auto"/>
        <w:ind w:left="0" w:right="0" w:firstLine="640" w:firstLineChars="200"/>
        <w:jc w:val="left"/>
      </w:pPr>
      <w:r>
        <w:rPr>
          <w:rFonts w:hint="eastAsia" w:ascii="仿宋_GB2312" w:eastAsia="仿宋_GB2312" w:cs="仿宋_GB2312" w:hAnsiTheme="minorHAnsi"/>
          <w:kern w:val="0"/>
          <w:sz w:val="32"/>
          <w:szCs w:val="32"/>
          <w:lang w:val="en-US" w:eastAsia="zh-CN" w:bidi="ar"/>
        </w:rPr>
        <w:t>2020年，武东镇在县委、县政府的正确指导和坚强领导下，稳步推进和落实各项工作。我镇根据《条例》《办法》和《任务分解实施方案》要求，高度重视政府信息公开工作，逐步健全完善政府信息公开工作机制，积极稳妥推进，认真按要求编制，并通过政务公开网站等网络媒介及时主动向社会公开。报告所列政府信息公开数据统计期限自2020年1月1日至2020年12月31日止，2020年及历年累计主动公开政府信息的数量为132条，主动依申请公开政府信息18条。内容包含机构职能信息、政策文件、政府决策、为民办实事、环境保护、安全生产、应急管理、公共服务等多个类别。申请公开的事项经过审核，给予全部公开。对单位一些涉密信息，按照信息保密管理条例给予不公开。</w:t>
      </w:r>
    </w:p>
    <w:p>
      <w:pPr>
        <w:keepNext w:val="0"/>
        <w:keepLines w:val="0"/>
        <w:widowControl/>
        <w:suppressLineNumbers w:val="0"/>
        <w:spacing w:before="0" w:beforeAutospacing="1" w:after="0" w:afterAutospacing="1" w:line="420" w:lineRule="auto"/>
        <w:ind w:left="0" w:right="0" w:firstLine="640" w:firstLineChars="200"/>
        <w:jc w:val="left"/>
      </w:pPr>
      <w:r>
        <w:rPr>
          <w:rFonts w:hint="eastAsia" w:ascii="楷体" w:hAnsi="楷体" w:eastAsia="楷体" w:cs="楷体"/>
          <w:kern w:val="0"/>
          <w:sz w:val="32"/>
          <w:szCs w:val="32"/>
          <w:lang w:val="en-US" w:eastAsia="zh-CN" w:bidi="ar"/>
        </w:rPr>
        <w:t>2、公开渠道建设和利用情况等内容：</w:t>
      </w:r>
    </w:p>
    <w:p>
      <w:pPr>
        <w:keepNext w:val="0"/>
        <w:keepLines w:val="0"/>
        <w:widowControl/>
        <w:suppressLineNumbers w:val="0"/>
        <w:spacing w:before="0" w:beforeAutospacing="1" w:after="0" w:afterAutospacing="1" w:line="420" w:lineRule="auto"/>
        <w:ind w:left="0" w:right="0" w:firstLine="640" w:firstLineChars="200"/>
        <w:jc w:val="left"/>
      </w:pPr>
      <w:r>
        <w:rPr>
          <w:rFonts w:hint="eastAsia" w:ascii="仿宋_GB2312" w:hAnsi="仿宋_GB2312" w:eastAsia="仿宋_GB2312" w:cs="仿宋_GB2312"/>
          <w:kern w:val="0"/>
          <w:sz w:val="32"/>
          <w:szCs w:val="32"/>
          <w:lang w:val="en-US" w:eastAsia="zh-CN" w:bidi="ar"/>
        </w:rPr>
        <w:t>2020年，我镇发挥 “武平武东网”官方微信公众号平台建设，充分发挥其渠道作用。对主动公开信息的范围、形式、获取信息的方法，依申请公开的申请方式、流程等做了更为详尽地说明，并将公开信息报送县档案馆供社会公众查阅，获得了不少的浏览量和群众的关注度。</w:t>
      </w:r>
    </w:p>
    <w:p>
      <w:pPr>
        <w:keepNext w:val="0"/>
        <w:keepLines w:val="0"/>
        <w:widowControl/>
        <w:numPr>
          <w:numId w:val="0"/>
        </w:numPr>
        <w:suppressLineNumbers w:val="0"/>
        <w:spacing w:before="0" w:beforeAutospacing="1" w:after="0" w:afterAutospacing="1" w:line="420" w:lineRule="auto"/>
        <w:ind w:left="0" w:right="0" w:firstLine="640" w:firstLineChars="200"/>
        <w:jc w:val="left"/>
      </w:pPr>
      <w:r>
        <w:rPr>
          <w:rFonts w:hint="eastAsia" w:ascii="楷体" w:hAnsi="楷体" w:eastAsia="楷体" w:cs="楷体"/>
          <w:kern w:val="0"/>
          <w:sz w:val="32"/>
          <w:szCs w:val="32"/>
          <w:lang w:val="en-US" w:eastAsia="zh-CN" w:bidi="ar"/>
        </w:rPr>
        <w:t>3、主要亮点和成效：</w:t>
      </w:r>
    </w:p>
    <w:p>
      <w:pPr>
        <w:keepNext w:val="0"/>
        <w:keepLines w:val="0"/>
        <w:widowControl/>
        <w:suppressLineNumbers w:val="0"/>
        <w:spacing w:before="0" w:beforeAutospacing="1" w:after="0" w:afterAutospacing="1" w:line="420" w:lineRule="auto"/>
        <w:ind w:left="0" w:right="0" w:firstLine="640" w:firstLineChars="200"/>
        <w:jc w:val="left"/>
      </w:pPr>
      <w:r>
        <w:rPr>
          <w:rFonts w:hint="eastAsia" w:ascii="仿宋_GB2312" w:eastAsia="仿宋_GB2312" w:cs="仿宋_GB2312" w:hAnsiTheme="minorHAnsi"/>
          <w:kern w:val="0"/>
          <w:sz w:val="32"/>
          <w:szCs w:val="32"/>
          <w:lang w:val="en-US" w:eastAsia="zh-CN" w:bidi="ar"/>
        </w:rPr>
        <w:t>做到重要决策、重要部署、行政执法、三大攻坚战、深化“放管服”改革信息、重点民生领域信息、财政信息等主动及时公开，同时落实好公开审批制，并不断健全完善政府信息主动公开和依申请公开制度、保密审查等规定。</w:t>
      </w:r>
      <w:r>
        <w:rPr>
          <w:rFonts w:hint="eastAsia" w:ascii="仿宋_GB2312" w:hAnsi="仿宋_GB2312" w:eastAsia="仿宋_GB2312" w:cs="仿宋_GB2312"/>
          <w:kern w:val="0"/>
          <w:sz w:val="32"/>
          <w:szCs w:val="32"/>
          <w:lang w:val="en-US" w:eastAsia="zh-CN" w:bidi="ar"/>
        </w:rPr>
        <w:t>强化了组织领导、明确任务分工、推进制度建设、落实工作责任，进一步扩大了公开范围，细化了公开内容，重点推进政府采购等财政资金信息公开，推进等公共资源配置信息公开，推进重大建设项目信息公开，推进社会保险、社会救助、教育和医疗卫生领域等公共服务信息公开，推进脱贫攻坚战役、生态环保战役、项目落地攻坚战役“三大战役”进展情况信息公开，提高信息公开的质量和数量。</w:t>
      </w:r>
    </w:p>
    <w:p>
      <w:pPr>
        <w:keepNext w:val="0"/>
        <w:keepLines w:val="0"/>
        <w:widowControl/>
        <w:numPr>
          <w:numId w:val="0"/>
        </w:numPr>
        <w:suppressLineNumbers w:val="0"/>
        <w:spacing w:before="0" w:beforeAutospacing="1" w:after="0" w:afterAutospacing="1" w:line="420" w:lineRule="auto"/>
        <w:ind w:left="0" w:right="0" w:firstLine="640" w:firstLineChars="200"/>
        <w:jc w:val="left"/>
      </w:pPr>
      <w:r>
        <w:rPr>
          <w:rFonts w:hint="eastAsia" w:ascii="楷体" w:hAnsi="楷体" w:eastAsia="楷体" w:cs="楷体"/>
          <w:kern w:val="0"/>
          <w:sz w:val="32"/>
          <w:szCs w:val="32"/>
          <w:lang w:val="en-US" w:eastAsia="zh-CN" w:bidi="ar"/>
        </w:rPr>
        <w:t>4、政府信息管理情况：</w:t>
      </w:r>
    </w:p>
    <w:p>
      <w:pPr>
        <w:keepNext w:val="0"/>
        <w:keepLines w:val="0"/>
        <w:widowControl/>
        <w:suppressLineNumbers w:val="0"/>
        <w:spacing w:before="0" w:beforeAutospacing="1" w:after="0" w:afterAutospacing="1" w:line="420" w:lineRule="auto"/>
        <w:ind w:left="0" w:right="0" w:firstLine="640" w:firstLineChars="200"/>
        <w:jc w:val="left"/>
      </w:pPr>
      <w:r>
        <w:rPr>
          <w:rFonts w:hint="eastAsia" w:ascii="仿宋_GB2312" w:hAnsi="仿宋_GB2312" w:eastAsia="仿宋_GB2312" w:cs="仿宋_GB2312"/>
          <w:kern w:val="0"/>
          <w:sz w:val="32"/>
          <w:szCs w:val="32"/>
          <w:lang w:val="en-US" w:eastAsia="zh-CN" w:bidi="ar"/>
        </w:rPr>
        <w:t>一是健全公开制度。进一步健全和完善政府信息公开内容审查和更新维护等工作制度，促进政府信息公开工作制度化、规范化。二是严格落实保密审查工作。加强拟公开政府信息的保密审查，规范公开流程，禁止未经审查和批准的政府信息对外公开，从制度上消除泄密隐患。三是加强统计报送工作。按时做好季度统计报送工作，严格执行政府信息公开统计季报制度，及时、规范报送季度统计报表。</w:t>
      </w:r>
    </w:p>
    <w:p>
      <w:pPr>
        <w:keepNext w:val="0"/>
        <w:keepLines w:val="0"/>
        <w:widowControl/>
        <w:numPr>
          <w:numId w:val="0"/>
        </w:numPr>
        <w:suppressLineNumbers w:val="0"/>
        <w:spacing w:before="0" w:beforeAutospacing="1" w:after="0" w:afterAutospacing="1" w:line="420" w:lineRule="auto"/>
        <w:ind w:left="0" w:right="0" w:firstLine="640" w:firstLineChars="200"/>
        <w:jc w:val="left"/>
      </w:pPr>
      <w:r>
        <w:rPr>
          <w:rFonts w:hint="eastAsia" w:ascii="楷体" w:hAnsi="楷体" w:eastAsia="楷体" w:cs="楷体"/>
          <w:kern w:val="0"/>
          <w:sz w:val="32"/>
          <w:szCs w:val="32"/>
          <w:lang w:val="en-US" w:eastAsia="zh-CN" w:bidi="ar"/>
        </w:rPr>
        <w:t>5、平台建设情况：</w:t>
      </w:r>
    </w:p>
    <w:p>
      <w:pPr>
        <w:keepNext w:val="0"/>
        <w:keepLines w:val="0"/>
        <w:widowControl/>
        <w:suppressLineNumbers w:val="0"/>
        <w:spacing w:before="0" w:beforeAutospacing="1" w:after="0" w:afterAutospacing="1" w:line="420" w:lineRule="auto"/>
        <w:ind w:left="0" w:right="0" w:firstLine="640" w:firstLineChars="200"/>
        <w:jc w:val="left"/>
      </w:pPr>
      <w:r>
        <w:rPr>
          <w:rFonts w:hint="eastAsia" w:ascii="仿宋_GB2312" w:hAnsi="仿宋_GB2312" w:eastAsia="仿宋_GB2312" w:cs="仿宋_GB2312"/>
          <w:kern w:val="0"/>
          <w:sz w:val="32"/>
          <w:szCs w:val="32"/>
          <w:lang w:val="en-US" w:eastAsia="zh-CN" w:bidi="ar"/>
        </w:rPr>
        <w:t>2020年，我镇</w:t>
      </w:r>
      <w:r>
        <w:rPr>
          <w:rFonts w:hint="eastAsia" w:ascii="仿宋_GB2312" w:eastAsia="仿宋_GB2312" w:cs="仿宋_GB2312" w:hAnsiTheme="minorHAnsi"/>
          <w:kern w:val="0"/>
          <w:sz w:val="32"/>
          <w:szCs w:val="32"/>
          <w:lang w:val="en-US" w:eastAsia="zh-CN" w:bidi="ar"/>
        </w:rPr>
        <w:t>信息公开借助政府网站、政府微信公众平台、镇政府公告栏及其他便民渠道进行公开。同时</w:t>
      </w:r>
      <w:r>
        <w:rPr>
          <w:rFonts w:hint="eastAsia" w:ascii="仿宋_GB2312" w:hAnsi="仿宋_GB2312" w:eastAsia="仿宋_GB2312" w:cs="仿宋_GB2312"/>
          <w:kern w:val="0"/>
          <w:sz w:val="32"/>
          <w:szCs w:val="32"/>
          <w:lang w:val="en-US" w:eastAsia="zh-CN" w:bidi="ar"/>
        </w:rPr>
        <w:t>加强 “武平武东网”、政务信息公开网站等网络平台建设，充分发挥其渠道作用。对主动公开信息的范围、形式、获取信息的方法，依申请公开的申请方式、流程等做了更为详尽地说明，并将公开信息报送县档案馆供社会公众审阅。</w:t>
      </w:r>
    </w:p>
    <w:p>
      <w:pPr>
        <w:keepNext w:val="0"/>
        <w:keepLines w:val="0"/>
        <w:widowControl/>
        <w:numPr>
          <w:numId w:val="0"/>
        </w:numPr>
        <w:suppressLineNumbers w:val="0"/>
        <w:spacing w:before="0" w:beforeAutospacing="1" w:after="0" w:afterAutospacing="1" w:line="420" w:lineRule="auto"/>
        <w:ind w:left="0" w:right="0" w:firstLine="640" w:firstLineChars="200"/>
        <w:jc w:val="left"/>
      </w:pPr>
      <w:r>
        <w:rPr>
          <w:rFonts w:hint="eastAsia" w:ascii="楷体" w:hAnsi="楷体" w:eastAsia="楷体" w:cs="楷体"/>
          <w:kern w:val="0"/>
          <w:sz w:val="32"/>
          <w:szCs w:val="32"/>
          <w:lang w:val="en-US" w:eastAsia="zh-CN" w:bidi="ar"/>
        </w:rPr>
        <w:t>6、监督保障情况：</w:t>
      </w:r>
    </w:p>
    <w:p>
      <w:pPr>
        <w:keepNext w:val="0"/>
        <w:keepLines w:val="0"/>
        <w:widowControl/>
        <w:suppressLineNumbers w:val="0"/>
        <w:spacing w:before="0" w:beforeAutospacing="1" w:after="0" w:afterAutospacing="1" w:line="420" w:lineRule="auto"/>
        <w:ind w:left="0" w:right="0" w:firstLine="640" w:firstLineChars="200"/>
        <w:jc w:val="left"/>
      </w:pPr>
      <w:r>
        <w:rPr>
          <w:rFonts w:hint="eastAsia" w:ascii="仿宋_GB2312" w:hAnsi="仿宋_GB2312" w:eastAsia="仿宋_GB2312" w:cs="仿宋_GB2312"/>
          <w:kern w:val="0"/>
          <w:sz w:val="32"/>
          <w:szCs w:val="32"/>
          <w:lang w:val="en-US" w:eastAsia="zh-CN" w:bidi="ar"/>
        </w:rPr>
        <w:t>为做好信息公开工作，我镇加强组织领导和机构队伍建设,及时调整充实政府信息公开领导小组机构，进一步加强政府信息公开工作队伍建设，党镇主要领导亲自抓政府信息公开，成立“武平武东网”工作室，严格落实各部门的职能职责，指定专人负责政府信息公开工作，形成一级抓一级、层层抓落实的局面，保证了2020年政府信息公开工作的有序推进，保证工作正常有序开展。我镇还投入一定工作经费用于做好信息公开工作的软硬件更新及维护。</w:t>
      </w:r>
    </w:p>
    <w:p>
      <w:pPr>
        <w:keepNext w:val="0"/>
        <w:keepLines w:val="0"/>
        <w:widowControl/>
        <w:suppressLineNumbers w:val="0"/>
        <w:spacing w:before="0" w:beforeAutospacing="1" w:after="0" w:afterAutospacing="1" w:line="540" w:lineRule="atLeast"/>
        <w:ind w:left="0" w:right="0" w:firstLine="480"/>
        <w:jc w:val="left"/>
      </w:pPr>
      <w:r>
        <w:rPr>
          <w:rFonts w:hint="eastAsia" w:ascii="黑体" w:hAnsi="宋体" w:eastAsia="黑体" w:cs="黑体"/>
          <w:kern w:val="0"/>
          <w:sz w:val="32"/>
          <w:szCs w:val="32"/>
          <w:lang w:val="en-US" w:eastAsia="zh-CN" w:bidi="ar"/>
        </w:rPr>
        <w:t>二、主动公开政府信息情况</w:t>
      </w:r>
    </w:p>
    <w:tbl>
      <w:tblPr>
        <w:tblW w:w="8140" w:type="dxa"/>
        <w:jc w:val="center"/>
        <w:shd w:val="clear"/>
        <w:tblLayout w:type="autofit"/>
        <w:tblCellMar>
          <w:top w:w="0" w:type="dxa"/>
          <w:left w:w="0" w:type="dxa"/>
          <w:bottom w:w="0" w:type="dxa"/>
          <w:right w:w="0" w:type="dxa"/>
        </w:tblCellMar>
      </w:tblPr>
      <w:tblGrid>
        <w:gridCol w:w="3013"/>
        <w:gridCol w:w="1820"/>
        <w:gridCol w:w="240"/>
        <w:gridCol w:w="1232"/>
        <w:gridCol w:w="1835"/>
      </w:tblGrid>
      <w:tr>
        <w:tblPrEx>
          <w:shd w:val="clear"/>
          <w:tblCellMar>
            <w:top w:w="0" w:type="dxa"/>
            <w:left w:w="0" w:type="dxa"/>
            <w:bottom w:w="0" w:type="dxa"/>
            <w:right w:w="0" w:type="dxa"/>
          </w:tblCellMar>
        </w:tblPrEx>
        <w:trPr>
          <w:cantSplit/>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第二十条第（一）项</w:t>
            </w:r>
          </w:p>
        </w:tc>
      </w:tr>
      <w:tr>
        <w:tblPrEx>
          <w:tblCellMar>
            <w:top w:w="0" w:type="dxa"/>
            <w:left w:w="0" w:type="dxa"/>
            <w:bottom w:w="0" w:type="dxa"/>
            <w:right w:w="0" w:type="dxa"/>
          </w:tblCellMar>
        </w:tblPrEx>
        <w:trPr>
          <w:cantSplit/>
          <w:trHeight w:val="882"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信息内容</w:t>
            </w:r>
          </w:p>
        </w:tc>
        <w:tc>
          <w:tcPr>
            <w:tcW w:w="187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本年新</w:t>
            </w:r>
            <w:r>
              <w:rPr>
                <w:rFonts w:hint="eastAsia" w:ascii="宋体" w:hAnsi="宋体" w:eastAsia="宋体" w:cs="Helvetica"/>
                <w:color w:val="333333"/>
                <w:kern w:val="0"/>
                <w:sz w:val="20"/>
                <w:szCs w:val="20"/>
                <w:bdr w:val="none" w:color="auto" w:sz="0" w:space="0"/>
                <w:lang w:val="en-US" w:eastAsia="zh-CN" w:bidi="ar"/>
              </w:rPr>
              <w:br w:type="textWrapping"/>
            </w:r>
            <w:r>
              <w:rPr>
                <w:rFonts w:ascii="微软雅黑" w:hAnsi="微软雅黑" w:eastAsia="微软雅黑" w:cs="Helvetica"/>
                <w:color w:val="333333"/>
                <w:kern w:val="0"/>
                <w:sz w:val="20"/>
                <w:szCs w:val="20"/>
                <w:bdr w:val="none" w:color="auto" w:sz="0" w:space="0"/>
                <w:lang w:val="en-US" w:eastAsia="zh-CN" w:bidi="ar"/>
              </w:rPr>
              <w:t>制作数量</w:t>
            </w:r>
          </w:p>
        </w:tc>
        <w:tc>
          <w:tcPr>
            <w:tcW w:w="1271" w:type="dxa"/>
            <w:gridSpan w:val="2"/>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本年新</w:t>
            </w:r>
            <w:r>
              <w:rPr>
                <w:rFonts w:hint="eastAsia" w:ascii="宋体" w:hAnsi="宋体" w:eastAsia="宋体" w:cs="Helvetica"/>
                <w:color w:val="333333"/>
                <w:kern w:val="0"/>
                <w:sz w:val="20"/>
                <w:szCs w:val="20"/>
                <w:bdr w:val="none" w:color="auto" w:sz="0" w:space="0"/>
                <w:lang w:val="en-US" w:eastAsia="zh-CN" w:bidi="ar"/>
              </w:rPr>
              <w:br w:type="textWrapping"/>
            </w:r>
            <w:r>
              <w:rPr>
                <w:rFonts w:hint="eastAsia" w:ascii="微软雅黑" w:hAnsi="微软雅黑" w:eastAsia="微软雅黑" w:cs="Helvetica"/>
                <w:color w:val="333333"/>
                <w:kern w:val="0"/>
                <w:sz w:val="20"/>
                <w:szCs w:val="20"/>
                <w:bdr w:val="none" w:color="auto" w:sz="0" w:space="0"/>
                <w:lang w:val="en-US" w:eastAsia="zh-CN" w:bidi="ar"/>
              </w:rPr>
              <w:t>公开数量</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对外公开总数量</w:t>
            </w:r>
          </w:p>
        </w:tc>
      </w:tr>
      <w:tr>
        <w:tblPrEx>
          <w:tblCellMar>
            <w:top w:w="0" w:type="dxa"/>
            <w:left w:w="0" w:type="dxa"/>
            <w:bottom w:w="0" w:type="dxa"/>
            <w:right w:w="0" w:type="dxa"/>
          </w:tblCellMar>
        </w:tblPrEx>
        <w:trPr>
          <w:cantSplit/>
          <w:trHeight w:val="654"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宋体" w:hAnsi="宋体" w:eastAsia="宋体" w:cs="Helvetica"/>
                <w:color w:val="333333"/>
                <w:kern w:val="0"/>
                <w:sz w:val="20"/>
                <w:szCs w:val="20"/>
                <w:bdr w:val="none" w:color="auto" w:sz="0" w:space="0"/>
                <w:lang w:val="en-US" w:eastAsia="zh-CN" w:bidi="ar"/>
              </w:rPr>
              <w:t>规章</w:t>
            </w:r>
          </w:p>
        </w:tc>
        <w:tc>
          <w:tcPr>
            <w:tcW w:w="18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127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CellMar>
            <w:top w:w="0" w:type="dxa"/>
            <w:left w:w="0" w:type="dxa"/>
            <w:bottom w:w="0" w:type="dxa"/>
            <w:right w:w="0" w:type="dxa"/>
          </w:tblCellMar>
        </w:tblPrEx>
        <w:trPr>
          <w:cantSplit/>
          <w:trHeight w:val="471"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宋体" w:hAnsi="宋体" w:eastAsia="宋体" w:cs="Helvetica"/>
                <w:color w:val="333333"/>
                <w:kern w:val="0"/>
                <w:sz w:val="20"/>
                <w:szCs w:val="20"/>
                <w:bdr w:val="none" w:color="auto" w:sz="0" w:space="0"/>
                <w:lang w:val="en-US" w:eastAsia="zh-CN" w:bidi="ar"/>
              </w:rPr>
              <w:t>规范性文件</w:t>
            </w:r>
          </w:p>
        </w:tc>
        <w:tc>
          <w:tcPr>
            <w:tcW w:w="18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微软雅黑"/>
                <w:color w:val="333333"/>
                <w:kern w:val="0"/>
                <w:sz w:val="22"/>
                <w:szCs w:val="22"/>
                <w:bdr w:val="none" w:color="auto" w:sz="0" w:space="0"/>
                <w:lang w:val="en-US" w:eastAsia="zh-CN" w:bidi="ar"/>
              </w:rPr>
              <w:t>18</w:t>
            </w:r>
          </w:p>
        </w:tc>
        <w:tc>
          <w:tcPr>
            <w:tcW w:w="127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18</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21</w:t>
            </w:r>
          </w:p>
        </w:tc>
      </w:tr>
      <w:tr>
        <w:tblPrEx>
          <w:tblCellMar>
            <w:top w:w="0" w:type="dxa"/>
            <w:left w:w="0" w:type="dxa"/>
            <w:bottom w:w="0" w:type="dxa"/>
            <w:right w:w="0" w:type="dxa"/>
          </w:tblCellMar>
        </w:tblPrEx>
        <w:trPr>
          <w:cantSplit/>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第二十条第（五）项</w:t>
            </w:r>
          </w:p>
        </w:tc>
      </w:tr>
      <w:tr>
        <w:tblPrEx>
          <w:tblCellMar>
            <w:top w:w="0" w:type="dxa"/>
            <w:left w:w="0" w:type="dxa"/>
            <w:bottom w:w="0" w:type="dxa"/>
            <w:right w:w="0" w:type="dxa"/>
          </w:tblCellMar>
        </w:tblPrEx>
        <w:trPr>
          <w:cantSplit/>
          <w:trHeight w:val="634"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信息内容</w:t>
            </w:r>
          </w:p>
        </w:tc>
        <w:tc>
          <w:tcPr>
            <w:tcW w:w="187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本年增/减</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处理决定数量</w:t>
            </w:r>
          </w:p>
        </w:tc>
      </w:tr>
      <w:tr>
        <w:tblPrEx>
          <w:tblCellMar>
            <w:top w:w="0" w:type="dxa"/>
            <w:left w:w="0" w:type="dxa"/>
            <w:bottom w:w="0" w:type="dxa"/>
            <w:right w:w="0" w:type="dxa"/>
          </w:tblCellMar>
        </w:tblPrEx>
        <w:trPr>
          <w:cantSplit/>
          <w:trHeight w:val="528"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宋体" w:hAnsi="宋体" w:eastAsia="宋体" w:cs="Helvetica"/>
                <w:color w:val="333333"/>
                <w:kern w:val="0"/>
                <w:sz w:val="20"/>
                <w:szCs w:val="20"/>
                <w:bdr w:val="none" w:color="auto" w:sz="0" w:space="0"/>
                <w:lang w:val="en-US" w:eastAsia="zh-CN" w:bidi="ar"/>
              </w:rPr>
              <w:t>行政许可</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24</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320</w:t>
            </w:r>
          </w:p>
        </w:tc>
      </w:tr>
      <w:tr>
        <w:tblPrEx>
          <w:tblCellMar>
            <w:top w:w="0" w:type="dxa"/>
            <w:left w:w="0" w:type="dxa"/>
            <w:bottom w:w="0" w:type="dxa"/>
            <w:right w:w="0" w:type="dxa"/>
          </w:tblCellMar>
        </w:tblPrEx>
        <w:trPr>
          <w:cantSplit/>
          <w:trHeight w:val="550"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宋体" w:hAnsi="宋体" w:eastAsia="宋体" w:cs="Helvetica"/>
                <w:color w:val="333333"/>
                <w:kern w:val="0"/>
                <w:sz w:val="20"/>
                <w:szCs w:val="20"/>
                <w:bdr w:val="none" w:color="auto" w:sz="0" w:space="0"/>
                <w:lang w:val="en-US" w:eastAsia="zh-CN" w:bidi="ar"/>
              </w:rPr>
              <w:t>其他对外管理服务事项</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73</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829</w:t>
            </w:r>
          </w:p>
        </w:tc>
      </w:tr>
      <w:tr>
        <w:tblPrEx>
          <w:tblCellMar>
            <w:top w:w="0" w:type="dxa"/>
            <w:left w:w="0" w:type="dxa"/>
            <w:bottom w:w="0" w:type="dxa"/>
            <w:right w:w="0" w:type="dxa"/>
          </w:tblCellMar>
        </w:tblPrEx>
        <w:trPr>
          <w:cantSplit/>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第二十条第（六）项</w:t>
            </w:r>
          </w:p>
        </w:tc>
      </w:tr>
      <w:tr>
        <w:tblPrEx>
          <w:tblCellMar>
            <w:top w:w="0" w:type="dxa"/>
            <w:left w:w="0" w:type="dxa"/>
            <w:bottom w:w="0" w:type="dxa"/>
            <w:right w:w="0" w:type="dxa"/>
          </w:tblCellMar>
        </w:tblPrEx>
        <w:trPr>
          <w:cantSplit/>
          <w:trHeight w:val="634"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信息内容</w:t>
            </w:r>
          </w:p>
        </w:tc>
        <w:tc>
          <w:tcPr>
            <w:tcW w:w="187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本年增/减</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处理决定数量</w:t>
            </w:r>
          </w:p>
        </w:tc>
      </w:tr>
      <w:tr>
        <w:tblPrEx>
          <w:tblCellMar>
            <w:top w:w="0" w:type="dxa"/>
            <w:left w:w="0" w:type="dxa"/>
            <w:bottom w:w="0" w:type="dxa"/>
            <w:right w:w="0" w:type="dxa"/>
          </w:tblCellMar>
        </w:tblPrEx>
        <w:trPr>
          <w:cantSplit/>
          <w:trHeight w:val="430"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宋体" w:hAnsi="宋体" w:eastAsia="宋体" w:cs="Helvetica"/>
                <w:color w:val="333333"/>
                <w:kern w:val="0"/>
                <w:sz w:val="20"/>
                <w:szCs w:val="20"/>
                <w:bdr w:val="none" w:color="auto" w:sz="0" w:space="0"/>
                <w:lang w:val="en-US" w:eastAsia="zh-CN" w:bidi="ar"/>
              </w:rPr>
              <w:t>行政处罚</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0</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0</w:t>
            </w:r>
          </w:p>
        </w:tc>
      </w:tr>
      <w:tr>
        <w:tblPrEx>
          <w:tblCellMar>
            <w:top w:w="0" w:type="dxa"/>
            <w:left w:w="0" w:type="dxa"/>
            <w:bottom w:w="0" w:type="dxa"/>
            <w:right w:w="0" w:type="dxa"/>
          </w:tblCellMar>
        </w:tblPrEx>
        <w:trPr>
          <w:cantSplit/>
          <w:trHeight w:val="409"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宋体" w:hAnsi="宋体" w:eastAsia="宋体" w:cs="Helvetica"/>
                <w:color w:val="333333"/>
                <w:kern w:val="0"/>
                <w:sz w:val="20"/>
                <w:szCs w:val="20"/>
                <w:bdr w:val="none" w:color="auto" w:sz="0" w:space="0"/>
                <w:lang w:val="en-US" w:eastAsia="zh-CN" w:bidi="ar"/>
              </w:rPr>
              <w:t>行政强制</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0</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0</w:t>
            </w:r>
          </w:p>
        </w:tc>
      </w:tr>
      <w:tr>
        <w:tblPrEx>
          <w:tblCellMar>
            <w:top w:w="0" w:type="dxa"/>
            <w:left w:w="0" w:type="dxa"/>
            <w:bottom w:w="0" w:type="dxa"/>
            <w:right w:w="0" w:type="dxa"/>
          </w:tblCellMar>
        </w:tblPrEx>
        <w:trPr>
          <w:cantSplit/>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第二十条第（八）项</w:t>
            </w:r>
          </w:p>
        </w:tc>
      </w:tr>
      <w:tr>
        <w:tblPrEx>
          <w:tblCellMar>
            <w:top w:w="0" w:type="dxa"/>
            <w:left w:w="0" w:type="dxa"/>
            <w:bottom w:w="0" w:type="dxa"/>
            <w:right w:w="0" w:type="dxa"/>
          </w:tblCellMar>
        </w:tblPrEx>
        <w:trPr>
          <w:cantSplit/>
          <w:trHeight w:val="270"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信息内容</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宋体" w:hAnsi="宋体" w:eastAsia="宋体" w:cs="Helvetica"/>
                <w:color w:val="333333"/>
                <w:kern w:val="0"/>
                <w:sz w:val="20"/>
                <w:szCs w:val="20"/>
                <w:bdr w:val="none" w:color="auto" w:sz="0" w:space="0"/>
                <w:lang w:val="en-US" w:eastAsia="zh-CN" w:bidi="ar"/>
              </w:rPr>
              <w:t>上一年项目数量</w:t>
            </w:r>
          </w:p>
        </w:tc>
        <w:tc>
          <w:tcPr>
            <w:tcW w:w="3146" w:type="dxa"/>
            <w:gridSpan w:val="2"/>
            <w:tcBorders>
              <w:top w:val="single" w:color="auto" w:sz="8" w:space="0"/>
              <w:left w:val="nil"/>
              <w:bottom w:val="single" w:color="auto" w:sz="8" w:space="0"/>
              <w:right w:val="single" w:color="000000"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本年增/减</w:t>
            </w:r>
          </w:p>
        </w:tc>
      </w:tr>
      <w:tr>
        <w:tblPrEx>
          <w:tblCellMar>
            <w:top w:w="0" w:type="dxa"/>
            <w:left w:w="0" w:type="dxa"/>
            <w:bottom w:w="0" w:type="dxa"/>
            <w:right w:w="0" w:type="dxa"/>
          </w:tblCellMar>
        </w:tblPrEx>
        <w:trPr>
          <w:cantSplit/>
          <w:trHeight w:val="551"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宋体" w:hAnsi="宋体" w:eastAsia="宋体" w:cs="Helvetica"/>
                <w:color w:val="333333"/>
                <w:kern w:val="0"/>
                <w:sz w:val="20"/>
                <w:szCs w:val="20"/>
                <w:bdr w:val="none" w:color="auto" w:sz="0" w:space="0"/>
                <w:lang w:val="en-US" w:eastAsia="zh-CN" w:bidi="ar"/>
              </w:rPr>
              <w:t>行政事业性收费</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0</w:t>
            </w:r>
          </w:p>
        </w:tc>
        <w:tc>
          <w:tcPr>
            <w:tcW w:w="3146" w:type="dxa"/>
            <w:gridSpan w:val="2"/>
            <w:tcBorders>
              <w:top w:val="nil"/>
              <w:left w:val="nil"/>
              <w:bottom w:val="single" w:color="auto" w:sz="8" w:space="0"/>
              <w:right w:val="single" w:color="000000"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kern w:val="0"/>
                <w:sz w:val="24"/>
                <w:szCs w:val="21"/>
                <w:bdr w:val="none" w:color="auto" w:sz="0" w:space="0"/>
                <w:lang w:val="en-US" w:eastAsia="zh-CN" w:bidi="ar"/>
              </w:rPr>
              <w:t> 0</w:t>
            </w:r>
          </w:p>
        </w:tc>
      </w:tr>
      <w:tr>
        <w:tblPrEx>
          <w:tblCellMar>
            <w:top w:w="0" w:type="dxa"/>
            <w:left w:w="0" w:type="dxa"/>
            <w:bottom w:w="0" w:type="dxa"/>
            <w:right w:w="0" w:type="dxa"/>
          </w:tblCellMar>
        </w:tblPrEx>
        <w:trPr>
          <w:cantSplit/>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第二十条第（九）项</w:t>
            </w:r>
          </w:p>
        </w:tc>
      </w:tr>
      <w:tr>
        <w:tblPrEx>
          <w:tblCellMar>
            <w:top w:w="0" w:type="dxa"/>
            <w:left w:w="0" w:type="dxa"/>
            <w:bottom w:w="0" w:type="dxa"/>
            <w:right w:w="0" w:type="dxa"/>
          </w:tblCellMar>
        </w:tblPrEx>
        <w:trPr>
          <w:cantSplit/>
          <w:trHeight w:val="585"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信息内容</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采购项目数量</w:t>
            </w:r>
          </w:p>
        </w:tc>
        <w:tc>
          <w:tcPr>
            <w:tcW w:w="3146" w:type="dxa"/>
            <w:gridSpan w:val="2"/>
            <w:tcBorders>
              <w:top w:val="single" w:color="auto" w:sz="8" w:space="0"/>
              <w:left w:val="nil"/>
              <w:bottom w:val="single" w:color="auto" w:sz="8" w:space="0"/>
              <w:right w:val="single" w:color="000000"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采购总金额（元）</w:t>
            </w:r>
          </w:p>
        </w:tc>
      </w:tr>
      <w:tr>
        <w:tblPrEx>
          <w:tblCellMar>
            <w:top w:w="0" w:type="dxa"/>
            <w:left w:w="0" w:type="dxa"/>
            <w:bottom w:w="0" w:type="dxa"/>
            <w:right w:w="0" w:type="dxa"/>
          </w:tblCellMar>
        </w:tblPrEx>
        <w:trPr>
          <w:cantSplit/>
          <w:trHeight w:val="539"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宋体" w:hAnsi="宋体" w:eastAsia="宋体" w:cs="Helvetica"/>
                <w:color w:val="333333"/>
                <w:kern w:val="0"/>
                <w:sz w:val="20"/>
                <w:szCs w:val="20"/>
                <w:bdr w:val="none" w:color="auto" w:sz="0" w:space="0"/>
                <w:lang w:val="en-US" w:eastAsia="zh-CN" w:bidi="ar"/>
              </w:rPr>
              <w:t>政府集中采购</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Helvetica"/>
                <w:color w:val="333333"/>
                <w:kern w:val="0"/>
                <w:sz w:val="23"/>
                <w:szCs w:val="23"/>
                <w:bdr w:val="none" w:color="auto" w:sz="0" w:space="0"/>
                <w:lang w:val="en-US" w:eastAsia="zh-CN" w:bidi="ar"/>
              </w:rPr>
              <w:t>36</w:t>
            </w:r>
          </w:p>
        </w:tc>
        <w:tc>
          <w:tcPr>
            <w:tcW w:w="3146" w:type="dxa"/>
            <w:gridSpan w:val="2"/>
            <w:tcBorders>
              <w:top w:val="nil"/>
              <w:left w:val="nil"/>
              <w:bottom w:val="single" w:color="auto" w:sz="8" w:space="0"/>
              <w:right w:val="single" w:color="000000"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default" w:ascii="Times New Roman" w:hAnsi="Times New Roman" w:eastAsia="宋体" w:cs="Times New Roman"/>
                <w:kern w:val="0"/>
                <w:sz w:val="20"/>
                <w:szCs w:val="20"/>
                <w:bdr w:val="none" w:color="auto" w:sz="0" w:space="0"/>
                <w:lang w:val="en-US" w:eastAsia="zh-CN" w:bidi="ar"/>
              </w:rPr>
              <w:t>136496</w:t>
            </w:r>
          </w:p>
        </w:tc>
      </w:tr>
      <w:tr>
        <w:tblPrEx>
          <w:tblCellMar>
            <w:top w:w="0" w:type="dxa"/>
            <w:left w:w="0" w:type="dxa"/>
            <w:bottom w:w="0" w:type="dxa"/>
            <w:right w:w="0" w:type="dxa"/>
          </w:tblCellMar>
        </w:tblPrEx>
        <w:trPr>
          <w:jc w:val="center"/>
        </w:trPr>
        <w:tc>
          <w:tcPr>
            <w:tcW w:w="3120" w:type="dxa"/>
            <w:tcBorders>
              <w:top w:val="nil"/>
              <w:left w:val="nil"/>
              <w:bottom w:val="nil"/>
              <w:right w:val="nil"/>
            </w:tcBorders>
            <w:shd w:val="clear"/>
            <w:vAlign w:val="center"/>
          </w:tcPr>
          <w:p>
            <w:pPr>
              <w:keepNext w:val="0"/>
              <w:keepLines w:val="0"/>
              <w:widowControl/>
              <w:suppressLineNumbers w:val="0"/>
              <w:spacing w:before="0" w:beforeAutospacing="0" w:after="0" w:afterAutospacing="0" w:line="15" w:lineRule="atLeast"/>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 </w:t>
            </w:r>
          </w:p>
        </w:tc>
        <w:tc>
          <w:tcPr>
            <w:tcW w:w="1875" w:type="dxa"/>
            <w:tcBorders>
              <w:top w:val="nil"/>
              <w:left w:val="nil"/>
              <w:bottom w:val="nil"/>
              <w:right w:val="nil"/>
            </w:tcBorders>
            <w:shd w:val="clear"/>
            <w:vAlign w:val="center"/>
          </w:tcPr>
          <w:p>
            <w:pPr>
              <w:keepNext w:val="0"/>
              <w:keepLines w:val="0"/>
              <w:widowControl/>
              <w:suppressLineNumbers w:val="0"/>
              <w:spacing w:before="0" w:beforeAutospacing="0" w:after="0" w:afterAutospacing="0" w:line="15" w:lineRule="atLeast"/>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 </w:t>
            </w:r>
          </w:p>
        </w:tc>
        <w:tc>
          <w:tcPr>
            <w:tcW w:w="0" w:type="auto"/>
            <w:tcBorders>
              <w:top w:val="nil"/>
              <w:left w:val="nil"/>
              <w:bottom w:val="nil"/>
              <w:right w:val="nil"/>
            </w:tcBorders>
            <w:shd w:val="clear"/>
            <w:vAlign w:val="center"/>
          </w:tcPr>
          <w:p>
            <w:pPr>
              <w:keepNext w:val="0"/>
              <w:keepLines w:val="0"/>
              <w:widowControl/>
              <w:suppressLineNumbers w:val="0"/>
              <w:spacing w:before="0" w:beforeAutospacing="0" w:after="0" w:afterAutospacing="0" w:line="15" w:lineRule="atLeast"/>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 </w:t>
            </w:r>
          </w:p>
        </w:tc>
        <w:tc>
          <w:tcPr>
            <w:tcW w:w="1260" w:type="dxa"/>
            <w:tcBorders>
              <w:top w:val="nil"/>
              <w:left w:val="nil"/>
              <w:bottom w:val="nil"/>
              <w:right w:val="nil"/>
            </w:tcBorders>
            <w:shd w:val="clear"/>
            <w:vAlign w:val="center"/>
          </w:tcPr>
          <w:p>
            <w:pPr>
              <w:keepNext w:val="0"/>
              <w:keepLines w:val="0"/>
              <w:widowControl/>
              <w:suppressLineNumbers w:val="0"/>
              <w:spacing w:before="0" w:beforeAutospacing="0" w:after="0" w:afterAutospacing="0" w:line="15" w:lineRule="atLeast"/>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 </w:t>
            </w:r>
          </w:p>
        </w:tc>
        <w:tc>
          <w:tcPr>
            <w:tcW w:w="1875" w:type="dxa"/>
            <w:tcBorders>
              <w:top w:val="nil"/>
              <w:left w:val="nil"/>
              <w:bottom w:val="nil"/>
              <w:right w:val="nil"/>
            </w:tcBorders>
            <w:shd w:val="clear"/>
            <w:vAlign w:val="center"/>
          </w:tcPr>
          <w:p>
            <w:pPr>
              <w:keepNext w:val="0"/>
              <w:keepLines w:val="0"/>
              <w:widowControl/>
              <w:suppressLineNumbers w:val="0"/>
              <w:spacing w:before="0" w:beforeAutospacing="0" w:after="0" w:afterAutospacing="0" w:line="15" w:lineRule="atLeast"/>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 </w:t>
            </w:r>
          </w:p>
        </w:tc>
      </w:tr>
    </w:tbl>
    <w:p>
      <w:pPr>
        <w:keepNext w:val="0"/>
        <w:keepLines w:val="0"/>
        <w:widowControl/>
        <w:suppressLineNumbers w:val="0"/>
        <w:spacing w:before="0" w:beforeAutospacing="1" w:after="0" w:afterAutospacing="1" w:line="540" w:lineRule="atLeast"/>
        <w:ind w:left="0" w:right="0"/>
        <w:jc w:val="left"/>
      </w:pPr>
      <w:r>
        <w:rPr>
          <w:rFonts w:hint="eastAsia" w:ascii="微软雅黑" w:hAnsi="微软雅黑" w:eastAsia="微软雅黑" w:cs="宋体"/>
          <w:kern w:val="0"/>
          <w:sz w:val="24"/>
          <w:szCs w:val="24"/>
          <w:lang w:val="en-US" w:eastAsia="zh-CN" w:bidi="ar"/>
        </w:rPr>
        <w:t> </w:t>
      </w:r>
    </w:p>
    <w:p>
      <w:pPr>
        <w:keepNext w:val="0"/>
        <w:keepLines w:val="0"/>
        <w:widowControl/>
        <w:numPr>
          <w:numId w:val="0"/>
        </w:numPr>
        <w:suppressLineNumbers w:val="0"/>
        <w:spacing w:before="0" w:beforeAutospacing="1" w:after="0" w:afterAutospacing="1" w:line="540" w:lineRule="atLeast"/>
        <w:ind w:left="480" w:right="0" w:firstLine="0"/>
        <w:jc w:val="left"/>
      </w:pPr>
      <w:r>
        <w:rPr>
          <w:rFonts w:hint="eastAsia" w:ascii="黑体" w:hAnsi="宋体" w:eastAsia="黑体" w:cs="黑体"/>
          <w:kern w:val="0"/>
          <w:sz w:val="32"/>
          <w:szCs w:val="32"/>
          <w:lang w:val="en-US" w:eastAsia="zh-CN" w:bidi="ar"/>
        </w:rPr>
        <w:t>三、收到和处理政府信息公开申请情况</w:t>
      </w:r>
    </w:p>
    <w:tbl>
      <w:tblPr>
        <w:tblW w:w="5000"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496"/>
        <w:gridCol w:w="839"/>
        <w:gridCol w:w="1912"/>
        <w:gridCol w:w="749"/>
        <w:gridCol w:w="697"/>
        <w:gridCol w:w="697"/>
        <w:gridCol w:w="749"/>
        <w:gridCol w:w="892"/>
        <w:gridCol w:w="658"/>
        <w:gridCol w:w="633"/>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465" w:type="dxa"/>
            <w:gridSpan w:val="3"/>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（本列数据的勾稽关系为：第一项加第二项之和，等于第三项加第四项之和）</w:t>
            </w:r>
          </w:p>
        </w:tc>
        <w:tc>
          <w:tcPr>
            <w:tcW w:w="5580" w:type="dxa"/>
            <w:gridSpan w:val="7"/>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申请人情况</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65"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自然人</w:t>
            </w:r>
          </w:p>
        </w:tc>
        <w:tc>
          <w:tcPr>
            <w:tcW w:w="4065"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法人或其他组织</w:t>
            </w:r>
          </w:p>
        </w:tc>
        <w:tc>
          <w:tcPr>
            <w:tcW w:w="69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65"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商业企业</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科研机构</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社会公益组织</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法律服务机构</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其他</w:t>
            </w:r>
          </w:p>
        </w:tc>
        <w:tc>
          <w:tcPr>
            <w:tcW w:w="69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65"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一、本年新收政府信息公开申请数量</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65"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二、上年结转政府信息公开申请数量</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三、本年度办理结果</w:t>
            </w:r>
          </w:p>
        </w:tc>
        <w:tc>
          <w:tcPr>
            <w:tcW w:w="298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（一）予以公开</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0 </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98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（二）部分公开（区分处理的，只计这一情形，不计其他情形）</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（三）不予公开</w:t>
            </w: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1.属于国家秘密</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2.其他法律行政法规禁止公开</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3.危及“三安全一稳定”</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0 </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0 </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4.保护第三方合法权益</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5.属于三类内部事务信息</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6.属于四类过程性信息</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7.属于行政执法案卷</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8.属于行政查询事项</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（四）无法提供</w:t>
            </w: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1.本机关不掌握相关政府信息</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2.没有现成信息需要另行制作</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3.补正后申请内容仍不明确</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（五）不予处理</w:t>
            </w: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1.信访举报投诉类申请</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2.重复申请</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3.要求提供公开出版物</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0 </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0 </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4.无正当理由大量反复申请</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0 </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1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5.要求行政机关确认或重新出具已获取信息</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98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（六）其他处理</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98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（七）总计</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65"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四、结转下年度继续办理</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7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82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9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0 </w:t>
            </w:r>
          </w:p>
        </w:tc>
        <w:tc>
          <w:tcPr>
            <w:tcW w:w="72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9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0 </w:t>
            </w:r>
          </w:p>
        </w:tc>
      </w:tr>
    </w:tbl>
    <w:p>
      <w:pPr>
        <w:keepNext w:val="0"/>
        <w:keepLines w:val="0"/>
        <w:widowControl/>
        <w:suppressLineNumbers w:val="0"/>
        <w:spacing w:before="0" w:beforeAutospacing="1" w:after="0" w:afterAutospacing="1" w:line="540" w:lineRule="atLeast"/>
        <w:ind w:left="0" w:right="0"/>
        <w:jc w:val="left"/>
      </w:pPr>
      <w:r>
        <w:rPr>
          <w:rFonts w:hint="eastAsia" w:ascii="微软雅黑" w:hAnsi="微软雅黑" w:eastAsia="微软雅黑" w:cs="宋体"/>
          <w:kern w:val="0"/>
          <w:sz w:val="24"/>
          <w:szCs w:val="24"/>
          <w:lang w:val="en-US" w:eastAsia="zh-CN" w:bidi="ar"/>
        </w:rPr>
        <w:t>　</w:t>
      </w:r>
      <w:r>
        <w:rPr>
          <w:rFonts w:hint="eastAsia" w:ascii="黑体" w:hAnsi="宋体" w:eastAsia="黑体" w:cs="黑体"/>
          <w:kern w:val="0"/>
          <w:sz w:val="32"/>
          <w:szCs w:val="32"/>
          <w:lang w:val="en-US" w:eastAsia="zh-CN" w:bidi="ar"/>
        </w:rPr>
        <w:t>　四、政府信息公开行政复议、行政诉讼情况</w:t>
      </w:r>
    </w:p>
    <w:tbl>
      <w:tblPr>
        <w:tblW w:w="5009"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44"/>
        <w:gridCol w:w="544"/>
        <w:gridCol w:w="544"/>
        <w:gridCol w:w="544"/>
        <w:gridCol w:w="602"/>
        <w:gridCol w:w="544"/>
        <w:gridCol w:w="544"/>
        <w:gridCol w:w="544"/>
        <w:gridCol w:w="544"/>
        <w:gridCol w:w="602"/>
        <w:gridCol w:w="544"/>
        <w:gridCol w:w="544"/>
        <w:gridCol w:w="545"/>
        <w:gridCol w:w="545"/>
        <w:gridCol w:w="603"/>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77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行政复议</w:t>
            </w:r>
          </w:p>
        </w:tc>
        <w:tc>
          <w:tcPr>
            <w:tcW w:w="5549" w:type="dxa"/>
            <w:gridSpan w:val="10"/>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行政诉讼</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43"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结果维持</w:t>
            </w:r>
          </w:p>
        </w:tc>
        <w:tc>
          <w:tcPr>
            <w:tcW w:w="543"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结果纠正</w:t>
            </w:r>
          </w:p>
        </w:tc>
        <w:tc>
          <w:tcPr>
            <w:tcW w:w="543"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其他结果</w:t>
            </w:r>
          </w:p>
        </w:tc>
        <w:tc>
          <w:tcPr>
            <w:tcW w:w="543"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尚未审结</w:t>
            </w:r>
          </w:p>
        </w:tc>
        <w:tc>
          <w:tcPr>
            <w:tcW w:w="601"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总计</w:t>
            </w:r>
          </w:p>
        </w:tc>
        <w:tc>
          <w:tcPr>
            <w:tcW w:w="277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未经复议直接起诉</w:t>
            </w:r>
          </w:p>
        </w:tc>
        <w:tc>
          <w:tcPr>
            <w:tcW w:w="2776"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复议后起诉</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43"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601"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结果维持</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结果纠正</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其他结果</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尚未审结</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总计</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结果维持</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结果纠正</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其他结果</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尚未审结</w:t>
            </w:r>
          </w:p>
        </w:tc>
        <w:tc>
          <w:tcPr>
            <w:tcW w:w="6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楷体" w:hAnsi="楷体" w:eastAsia="楷体" w:cs="楷体"/>
                <w:kern w:val="0"/>
                <w:sz w:val="24"/>
                <w:szCs w:val="21"/>
                <w:bdr w:val="none" w:color="auto" w:sz="0" w:space="0"/>
                <w:lang w:val="en-US" w:eastAsia="zh-CN" w:bidi="ar"/>
              </w:rPr>
              <w:t>　　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0 </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0 </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c>
          <w:tcPr>
            <w:tcW w:w="6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楷体" w:hAnsi="楷体" w:eastAsia="楷体" w:cs="楷体"/>
                <w:kern w:val="0"/>
                <w:sz w:val="24"/>
                <w:szCs w:val="21"/>
                <w:bdr w:val="none" w:color="auto" w:sz="0" w:space="0"/>
                <w:lang w:val="en-US" w:eastAsia="zh-CN" w:bidi="ar"/>
              </w:rPr>
              <w:t> 0</w:t>
            </w:r>
          </w:p>
        </w:tc>
      </w:tr>
    </w:tbl>
    <w:p>
      <w:pPr>
        <w:keepNext w:val="0"/>
        <w:keepLines w:val="0"/>
        <w:widowControl/>
        <w:suppressLineNumbers w:val="0"/>
        <w:spacing w:before="0" w:beforeAutospacing="1" w:after="0" w:afterAutospacing="1" w:line="540" w:lineRule="atLeast"/>
        <w:ind w:left="0" w:right="0" w:firstLine="640" w:firstLineChars="200"/>
        <w:jc w:val="left"/>
      </w:pPr>
      <w:r>
        <w:rPr>
          <w:rFonts w:hint="eastAsia" w:ascii="黑体" w:hAnsi="宋体" w:eastAsia="黑体" w:cs="黑体"/>
          <w:kern w:val="0"/>
          <w:sz w:val="32"/>
          <w:szCs w:val="32"/>
          <w:lang w:val="en-US" w:eastAsia="zh-CN" w:bidi="ar"/>
        </w:rPr>
        <w:t>五、存在的主要问题及改进情况</w:t>
      </w:r>
    </w:p>
    <w:p>
      <w:pPr>
        <w:keepNext w:val="0"/>
        <w:keepLines w:val="0"/>
        <w:widowControl/>
        <w:suppressLineNumbers w:val="0"/>
        <w:spacing w:before="0" w:beforeAutospacing="1" w:after="0" w:afterAutospacing="1" w:line="540" w:lineRule="atLeast"/>
        <w:ind w:left="0" w:right="0" w:firstLine="643" w:firstLineChars="200"/>
        <w:jc w:val="left"/>
      </w:pPr>
      <w:r>
        <w:rPr>
          <w:rFonts w:hint="eastAsia" w:ascii="楷体" w:hAnsi="楷体" w:eastAsia="楷体" w:cs="楷体"/>
          <w:b/>
          <w:bCs w:val="0"/>
          <w:kern w:val="0"/>
          <w:sz w:val="32"/>
          <w:szCs w:val="32"/>
          <w:lang w:val="en-US" w:eastAsia="zh-CN" w:bidi="ar"/>
        </w:rPr>
        <w:t>1、主要问题和困难</w:t>
      </w:r>
      <w:r>
        <w:rPr>
          <w:rFonts w:hint="eastAsia" w:ascii="楷体" w:hAnsi="楷体" w:eastAsia="楷体" w:cs="楷体"/>
          <w:kern w:val="0"/>
          <w:sz w:val="32"/>
          <w:szCs w:val="32"/>
          <w:lang w:val="en-US" w:eastAsia="zh-CN" w:bidi="ar"/>
        </w:rPr>
        <w:t>：</w:t>
      </w:r>
    </w:p>
    <w:p>
      <w:pPr>
        <w:keepNext w:val="0"/>
        <w:keepLines w:val="0"/>
        <w:widowControl/>
        <w:suppressLineNumbers w:val="0"/>
        <w:spacing w:before="0" w:beforeAutospacing="1" w:after="0" w:afterAutospacing="1" w:line="420" w:lineRule="auto"/>
        <w:ind w:left="0" w:right="0" w:firstLine="640" w:firstLineChars="200"/>
        <w:jc w:val="left"/>
      </w:pPr>
      <w:r>
        <w:rPr>
          <w:rFonts w:hint="eastAsia" w:ascii="仿宋_GB2312" w:eastAsia="仿宋_GB2312" w:cs="仿宋_GB2312" w:hAnsiTheme="minorHAnsi"/>
          <w:kern w:val="0"/>
          <w:sz w:val="32"/>
          <w:szCs w:val="32"/>
          <w:lang w:val="en-US" w:eastAsia="zh-CN" w:bidi="ar"/>
        </w:rPr>
        <w:t>一是思想认识有待进一步提高。部分干部对实行政府信息公开的重要意义认识不足，工作被动应付。二是公开内容上存在更新不及时。三是有关政府信息公开的制度仍需进一步完善。</w:t>
      </w:r>
    </w:p>
    <w:p>
      <w:pPr>
        <w:keepNext w:val="0"/>
        <w:keepLines w:val="0"/>
        <w:widowControl/>
        <w:numPr>
          <w:numId w:val="0"/>
        </w:numPr>
        <w:suppressLineNumbers w:val="0"/>
        <w:spacing w:beforeAutospacing="1" w:afterAutospacing="1" w:line="420" w:lineRule="auto"/>
        <w:ind w:left="0" w:right="0" w:firstLine="645"/>
        <w:jc w:val="left"/>
      </w:pPr>
      <w:r>
        <w:rPr>
          <w:rFonts w:hint="eastAsia" w:ascii="楷体" w:hAnsi="楷体" w:eastAsia="楷体" w:cs="楷体"/>
          <w:kern w:val="0"/>
          <w:sz w:val="32"/>
          <w:szCs w:val="32"/>
          <w:lang w:val="en-US" w:eastAsia="zh-CN" w:bidi="ar"/>
        </w:rPr>
        <w:t>2、</w:t>
      </w:r>
      <w:r>
        <w:rPr>
          <w:rFonts w:hint="eastAsia" w:ascii="楷体" w:hAnsi="楷体" w:eastAsia="楷体" w:cs="楷体"/>
          <w:b/>
          <w:bCs w:val="0"/>
          <w:kern w:val="0"/>
          <w:sz w:val="32"/>
          <w:szCs w:val="32"/>
          <w:lang w:val="en-US" w:eastAsia="zh-CN" w:bidi="ar"/>
        </w:rPr>
        <w:t>改进措施</w:t>
      </w:r>
      <w:r>
        <w:rPr>
          <w:rFonts w:hint="eastAsia" w:ascii="楷体" w:hAnsi="楷体" w:eastAsia="楷体" w:cs="楷体"/>
          <w:kern w:val="0"/>
          <w:sz w:val="32"/>
          <w:szCs w:val="32"/>
          <w:lang w:val="en-US" w:eastAsia="zh-CN" w:bidi="ar"/>
        </w:rPr>
        <w:t>：</w:t>
      </w:r>
    </w:p>
    <w:p>
      <w:pPr>
        <w:keepNext w:val="0"/>
        <w:keepLines w:val="0"/>
        <w:widowControl/>
        <w:suppressLineNumbers w:val="0"/>
        <w:spacing w:beforeAutospacing="1" w:afterAutospacing="1" w:line="420" w:lineRule="auto"/>
        <w:ind w:left="0" w:right="0" w:firstLine="640" w:firstLineChars="200"/>
        <w:jc w:val="left"/>
      </w:pPr>
      <w:r>
        <w:rPr>
          <w:rFonts w:hint="eastAsia" w:ascii="仿宋_GB2312" w:eastAsia="仿宋_GB2312" w:cs="仿宋_GB2312" w:hAnsiTheme="minorHAnsi"/>
          <w:kern w:val="0"/>
          <w:sz w:val="32"/>
          <w:szCs w:val="32"/>
          <w:lang w:val="en-US" w:eastAsia="zh-CN" w:bidi="ar"/>
        </w:rPr>
        <w:t>一是加强总结提升。对政府信息公开工作开展过程中出现的问题，进行深入的调查、经验总结。有针对性的完善相关工作制度，进一步提高工作质量和水平。二是进一步规范政府信息公开制度。规范信息公开流程，加强政府公开的及时性和时效性。三是加大信息公开经费预算。进一步细化预算编制，“三公”经费预决算面向社会公开。四是加大宣传教育 。在公开的形式上做文章。除了在网络上公开法律法规政策、行政审批事项外，利用其他形式和媒介做好政务公开工作。同时强化培训，让信息公开的意义及方式方法深植广大干部脑海。</w:t>
      </w:r>
    </w:p>
    <w:p>
      <w:pPr>
        <w:keepNext w:val="0"/>
        <w:keepLines w:val="0"/>
        <w:widowControl/>
        <w:suppressLineNumbers w:val="0"/>
        <w:spacing w:before="0" w:beforeAutospacing="1" w:after="0" w:afterAutospacing="1" w:line="420" w:lineRule="auto"/>
        <w:ind w:left="0" w:right="0"/>
        <w:jc w:val="left"/>
      </w:pPr>
      <w:r>
        <w:rPr>
          <w:rFonts w:hint="eastAsia" w:ascii="微软雅黑" w:hAnsi="微软雅黑" w:eastAsia="微软雅黑" w:cs="宋体"/>
          <w:kern w:val="0"/>
          <w:sz w:val="24"/>
          <w:szCs w:val="24"/>
          <w:lang w:val="en-US" w:eastAsia="zh-CN" w:bidi="ar"/>
        </w:rPr>
        <w:t>　　</w:t>
      </w:r>
      <w:r>
        <w:rPr>
          <w:rFonts w:hint="eastAsia" w:ascii="黑体" w:hAnsi="宋体" w:eastAsia="黑体" w:cs="黑体"/>
          <w:kern w:val="0"/>
          <w:sz w:val="32"/>
          <w:szCs w:val="32"/>
          <w:lang w:val="en-US" w:eastAsia="zh-CN" w:bidi="ar"/>
        </w:rPr>
        <w:t>六、其他需要报告的事项</w:t>
      </w:r>
    </w:p>
    <w:p>
      <w:pPr>
        <w:keepNext w:val="0"/>
        <w:keepLines w:val="0"/>
        <w:widowControl/>
        <w:suppressLineNumbers w:val="0"/>
        <w:spacing w:before="0" w:beforeAutospacing="1" w:after="0" w:afterAutospacing="1" w:line="420" w:lineRule="auto"/>
        <w:ind w:left="0" w:right="0"/>
        <w:jc w:val="left"/>
      </w:pPr>
      <w:r>
        <w:rPr>
          <w:rFonts w:hint="eastAsia" w:ascii="微软雅黑" w:hAnsi="微软雅黑" w:eastAsia="微软雅黑" w:cs="宋体"/>
          <w:kern w:val="0"/>
          <w:sz w:val="24"/>
          <w:szCs w:val="24"/>
          <w:lang w:val="en-US" w:eastAsia="zh-CN" w:bidi="ar"/>
        </w:rPr>
        <w:t>　　</w:t>
      </w:r>
      <w:r>
        <w:rPr>
          <w:rFonts w:hint="eastAsia" w:ascii="仿宋_GB2312" w:hAnsi="仿宋_GB2312" w:eastAsia="仿宋_GB2312" w:cs="仿宋_GB2312"/>
          <w:kern w:val="0"/>
          <w:sz w:val="32"/>
          <w:szCs w:val="32"/>
          <w:lang w:val="en-US" w:eastAsia="zh-CN" w:bidi="ar"/>
        </w:rPr>
        <w:t>无其他需要报告的事项。</w:t>
      </w:r>
    </w:p>
    <w:p>
      <w:pPr>
        <w:keepNext w:val="0"/>
        <w:keepLines w:val="0"/>
        <w:widowControl/>
        <w:suppressLineNumbers w:val="0"/>
        <w:spacing w:beforeAutospacing="1" w:afterAutospacing="1" w:line="420" w:lineRule="auto"/>
        <w:ind w:left="0" w:right="0"/>
        <w:jc w:val="left"/>
      </w:pPr>
      <w:r>
        <w:rPr>
          <w:rFonts w:asciiTheme="minorHAnsi" w:hAnsiTheme="minorHAnsi" w:eastAsiaTheme="minorEastAsia" w:cstheme="minorBidi"/>
          <w:kern w:val="0"/>
          <w:sz w:val="24"/>
          <w:szCs w:val="24"/>
          <w:lang w:val="en-US" w:eastAsia="zh-CN" w:bidi="ar"/>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D75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2021-04-20T02:42:10Z</dcterms:created>
  <dc:creator>Administrator</dc:creator>
  <cp:lastModifiedBy>ln</cp:lastModifiedBy>
  <dcterms:modified xsi:type="dcterms:W3CDTF">2021-04-20T02:42:24Z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D46ED81E505D45D486A3DAC00F50E3AE</vt:lpwstr>
  </property>
</Properties>
</file>