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hint="eastAsia" w:ascii="宋体" w:hAnsi="宋体" w:eastAsia="宋体" w:cs="宋体"/>
          <w:kern w:val="0"/>
          <w:sz w:val="24"/>
          <w:szCs w:val="24"/>
          <w:lang w:val="en-US" w:eastAsia="zh-CN" w:bidi="ar"/>
        </w:rPr>
        <w:t xml:space="preserve">  </w:t>
      </w:r>
    </w:p>
    <w:p>
      <w:pPr>
        <w:keepNext w:val="0"/>
        <w:keepLines w:val="0"/>
        <w:widowControl/>
        <w:suppressLineNumbers w:val="0"/>
        <w:spacing w:beforeAutospacing="1" w:afterAutospacing="1" w:line="432" w:lineRule="atLeast"/>
        <w:ind w:left="0" w:right="0"/>
        <w:jc w:val="center"/>
      </w:pPr>
      <w:r>
        <w:rPr>
          <w:rFonts w:ascii="方正小标宋简体" w:hAnsi="方正小标宋简体" w:eastAsia="方正小标宋简体" w:cs="方正小标宋简体"/>
          <w:color w:val="333333"/>
          <w:kern w:val="0"/>
          <w:sz w:val="44"/>
          <w:szCs w:val="44"/>
          <w:lang w:val="en-US" w:eastAsia="zh-CN" w:bidi="ar"/>
        </w:rPr>
        <w:t>东留镇</w:t>
      </w:r>
      <w:r>
        <w:rPr>
          <w:rFonts w:hint="eastAsia" w:ascii="方正小标宋简体" w:hAnsi="方正小标宋简体" w:eastAsia="方正小标宋简体" w:cs="方正小标宋简体"/>
          <w:color w:val="333333"/>
          <w:kern w:val="0"/>
          <w:sz w:val="44"/>
          <w:szCs w:val="44"/>
          <w:lang w:val="en-US" w:eastAsia="zh-CN" w:bidi="ar"/>
        </w:rPr>
        <w:t>2020年政府信息公开工作年度报告</w:t>
      </w:r>
    </w:p>
    <w:p>
      <w:pPr>
        <w:keepNext w:val="0"/>
        <w:keepLines w:val="0"/>
        <w:widowControl/>
        <w:numPr>
          <w:numId w:val="0"/>
        </w:numPr>
        <w:suppressLineNumbers w:val="0"/>
        <w:spacing w:beforeAutospacing="1" w:afterAutospacing="1" w:line="432" w:lineRule="atLeast"/>
        <w:ind w:left="0" w:right="0" w:firstLine="640" w:firstLineChars="200"/>
        <w:jc w:val="left"/>
      </w:pPr>
      <w:r>
        <w:rPr>
          <w:rFonts w:ascii="黑体" w:hAnsi="宋体" w:eastAsia="黑体" w:cs="黑体"/>
          <w:color w:val="333333"/>
          <w:kern w:val="0"/>
          <w:sz w:val="32"/>
          <w:szCs w:val="32"/>
          <w:lang w:val="en-US" w:eastAsia="zh-CN" w:bidi="ar"/>
        </w:rPr>
        <w:t>一、</w:t>
      </w:r>
      <w:r>
        <w:rPr>
          <w:rFonts w:hint="eastAsia" w:ascii="黑体" w:hAnsi="宋体" w:eastAsia="黑体" w:cs="黑体"/>
          <w:color w:val="333333"/>
          <w:kern w:val="0"/>
          <w:sz w:val="32"/>
          <w:szCs w:val="32"/>
          <w:lang w:val="en-US" w:eastAsia="zh-CN" w:bidi="ar"/>
        </w:rPr>
        <w:t>总体情况</w:t>
      </w:r>
    </w:p>
    <w:p>
      <w:pPr>
        <w:pStyle w:val="2"/>
        <w:keepNext w:val="0"/>
        <w:keepLines w:val="0"/>
        <w:widowControl/>
        <w:suppressLineNumbers w:val="0"/>
        <w:spacing w:before="0" w:beforeAutospacing="0" w:after="0" w:afterAutospacing="0" w:line="560" w:lineRule="exact"/>
        <w:ind w:left="0" w:firstLine="640"/>
        <w:rPr>
          <w:rFonts w:hint="eastAsia" w:ascii="宋体" w:hAnsi="宋体" w:eastAsia="宋体" w:cs="宋体"/>
          <w:sz w:val="24"/>
          <w:szCs w:val="24"/>
        </w:rPr>
      </w:pPr>
      <w:r>
        <w:rPr>
          <w:rFonts w:ascii="仿宋_GB2312" w:hAnsi="仿宋_GB2312" w:eastAsia="仿宋_GB2312" w:cs="仿宋_GB2312"/>
          <w:sz w:val="32"/>
          <w:szCs w:val="32"/>
          <w:shd w:val="clear" w:fill="FFFFFF"/>
          <w:lang w:val="en-US"/>
        </w:rPr>
        <w:t>2020</w:t>
      </w:r>
      <w:r>
        <w:rPr>
          <w:rFonts w:hint="eastAsia" w:ascii="仿宋_GB2312" w:hAnsi="仿宋_GB2312" w:eastAsia="仿宋_GB2312" w:cs="仿宋_GB2312"/>
          <w:sz w:val="32"/>
          <w:szCs w:val="32"/>
          <w:shd w:val="clear" w:fill="FFFFFF"/>
        </w:rPr>
        <w:t>年，东留镇坚持以习近平新时代中国特色社会主义思想为指导，深入学习贯彻党的十九大的精神和</w:t>
      </w:r>
      <w:r>
        <w:rPr>
          <w:rFonts w:hint="eastAsia" w:ascii="仿宋_GB2312" w:hAnsi="仿宋_GB2312" w:eastAsia="仿宋_GB2312" w:cs="仿宋_GB2312"/>
          <w:sz w:val="32"/>
          <w:szCs w:val="32"/>
        </w:rPr>
        <w:t>十九届二中、三中、四中、五中全会精神，</w:t>
      </w:r>
      <w:r>
        <w:rPr>
          <w:rFonts w:hint="eastAsia" w:ascii="仿宋_GB2312" w:hAnsi="仿宋_GB2312" w:eastAsia="仿宋_GB2312" w:cs="仿宋_GB2312"/>
          <w:sz w:val="32"/>
          <w:szCs w:val="32"/>
          <w:shd w:val="clear" w:fill="FFFFFF"/>
        </w:rPr>
        <w:t>紧紧围绕上级党委、政府各项决策部署，认真落实《中华人民共和国政府信息公开条例》</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z w:val="32"/>
          <w:szCs w:val="32"/>
          <w:shd w:val="clear" w:fill="FFFFFF"/>
        </w:rPr>
        <w:t>以下简称《条例》</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z w:val="32"/>
          <w:szCs w:val="32"/>
          <w:shd w:val="clear" w:fill="FFFFFF"/>
        </w:rPr>
        <w:t>和《福建省政府信息公开办法》（以下简称《办法》）要求，</w:t>
      </w:r>
      <w:r>
        <w:rPr>
          <w:rFonts w:hint="eastAsia" w:ascii="仿宋_GB2312" w:hAnsi="仿宋_GB2312" w:eastAsia="仿宋_GB2312" w:cs="仿宋_GB2312"/>
          <w:sz w:val="32"/>
          <w:szCs w:val="32"/>
        </w:rPr>
        <w:t>履行政府信息公开法定职责</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全面推进我镇政务公开工作，切实提升治理能力，提高人民群众知晓度和满意度，更好地服务于经济社会发展，全方位推动东留镇高质量发展超越。</w:t>
      </w:r>
    </w:p>
    <w:p>
      <w:pPr>
        <w:pStyle w:val="2"/>
        <w:keepNext w:val="0"/>
        <w:keepLines w:val="0"/>
        <w:widowControl/>
        <w:suppressLineNumbers w:val="0"/>
        <w:spacing w:before="0" w:beforeAutospacing="0" w:after="0" w:afterAutospacing="0" w:line="560" w:lineRule="exact"/>
        <w:ind w:left="0" w:firstLine="640"/>
        <w:rPr>
          <w:rFonts w:hint="eastAsia" w:ascii="宋体" w:hAnsi="宋体" w:eastAsia="宋体" w:cs="宋体"/>
          <w:sz w:val="24"/>
          <w:szCs w:val="24"/>
        </w:rPr>
      </w:pPr>
      <w:r>
        <w:rPr>
          <w:rFonts w:ascii="楷体_GB2312" w:hAnsi="楷体_GB2312" w:eastAsia="楷体_GB2312" w:cs="楷体_GB2312"/>
          <w:b/>
          <w:bCs/>
          <w:sz w:val="32"/>
          <w:szCs w:val="32"/>
        </w:rPr>
        <w:t>（一）加强组织领导，健全政务工作机制</w:t>
      </w:r>
    </w:p>
    <w:p>
      <w:pPr>
        <w:keepNext w:val="0"/>
        <w:keepLines w:val="0"/>
        <w:widowControl/>
        <w:suppressLineNumbers w:val="0"/>
        <w:spacing w:beforeAutospacing="1" w:afterAutospacing="1" w:line="560" w:lineRule="exact"/>
        <w:ind w:left="0" w:right="0" w:firstLine="640" w:firstLineChars="200"/>
        <w:jc w:val="left"/>
      </w:pPr>
      <w:r>
        <w:rPr>
          <w:rFonts w:hint="eastAsia" w:ascii="仿宋_GB2312" w:hAnsi="仿宋_GB2312" w:eastAsia="仿宋_GB2312" w:cs="仿宋_GB2312"/>
          <w:kern w:val="0"/>
          <w:sz w:val="32"/>
          <w:szCs w:val="32"/>
          <w:lang w:val="en-US" w:eastAsia="zh-CN" w:bidi="ar"/>
        </w:rPr>
        <w:t>我镇认真贯彻落实《条例》、《办法》和上级相关文件部署和会议精神，并结合我镇实际，</w:t>
      </w:r>
      <w:r>
        <w:rPr>
          <w:rFonts w:hint="eastAsia" w:ascii="仿宋_GB2312" w:hAnsi="仿宋_GB2312" w:eastAsia="仿宋_GB2312" w:cs="仿宋_GB2312"/>
          <w:kern w:val="0"/>
          <w:sz w:val="32"/>
          <w:szCs w:val="32"/>
          <w:lang w:val="en-US" w:eastAsia="zh-CN" w:bidi="ar"/>
        </w:rPr>
        <w:t>各部门切实担负起主体责任，形成主要领导要亲自抓、分管领导要直接抓，经办人员具体抓，形成工作合力，细化工作方案，有序有效推进政务公开工作，确保政务信息及时公开公布</w:t>
      </w:r>
      <w:r>
        <w:rPr>
          <w:rFonts w:hint="eastAsia" w:ascii="仿宋_GB2312" w:hAnsi="仿宋_GB2312" w:eastAsia="仿宋_GB2312" w:cs="仿宋_GB2312"/>
          <w:kern w:val="0"/>
          <w:sz w:val="32"/>
          <w:szCs w:val="32"/>
          <w:lang w:val="en-US" w:eastAsia="zh-CN" w:bidi="ar"/>
        </w:rPr>
        <w:t>。着重发布人民群众最关系最直接最现实利益的信息，及时在公告通知栏上公布疫情防控、重点项目落地情况、脱贫攻坚、生态环保、农业产业强镇示范项目建设、民生改善、政府建设等方面信息。让广大人民群众看得到、听得懂、能监督。</w:t>
      </w:r>
    </w:p>
    <w:p>
      <w:pPr>
        <w:pStyle w:val="2"/>
        <w:keepNext w:val="0"/>
        <w:keepLines w:val="0"/>
        <w:widowControl/>
        <w:suppressLineNumbers w:val="0"/>
        <w:spacing w:before="0" w:beforeAutospacing="0" w:after="0" w:afterAutospacing="0" w:line="560" w:lineRule="exact"/>
        <w:ind w:left="0" w:firstLine="640"/>
        <w:rPr>
          <w:rFonts w:hint="eastAsia" w:ascii="宋体" w:hAnsi="宋体" w:eastAsia="宋体" w:cs="宋体"/>
          <w:sz w:val="24"/>
          <w:szCs w:val="24"/>
        </w:rPr>
      </w:pPr>
      <w:r>
        <w:rPr>
          <w:rFonts w:hint="eastAsia" w:ascii="楷体_GB2312" w:hAnsi="楷体_GB2312" w:eastAsia="楷体_GB2312" w:cs="楷体_GB2312"/>
          <w:b/>
          <w:bCs/>
          <w:sz w:val="32"/>
          <w:szCs w:val="32"/>
        </w:rPr>
        <w:t>（二）拓宽公开渠道，完善政务公开形式</w:t>
      </w:r>
    </w:p>
    <w:p>
      <w:pPr>
        <w:keepNext w:val="0"/>
        <w:keepLines w:val="0"/>
        <w:widowControl/>
        <w:suppressLineNumbers w:val="0"/>
        <w:shd w:val="clear" w:fill="FFFFFF"/>
        <w:wordWrap w:val="0"/>
        <w:spacing w:beforeAutospacing="1" w:afterAutospacing="1" w:line="560" w:lineRule="exact"/>
        <w:ind w:left="0" w:right="0" w:firstLine="640" w:firstLineChars="200"/>
        <w:jc w:val="left"/>
      </w:pPr>
      <w:r>
        <w:rPr>
          <w:rFonts w:hint="eastAsia" w:ascii="仿宋_GB2312" w:hAnsi="仿宋_GB2312" w:eastAsia="仿宋_GB2312" w:cs="仿宋_GB2312"/>
          <w:kern w:val="0"/>
          <w:sz w:val="32"/>
          <w:szCs w:val="32"/>
          <w:shd w:val="clear" w:fill="FFFFFF"/>
          <w:lang w:val="en-US" w:eastAsia="zh-CN" w:bidi="ar"/>
        </w:rPr>
        <w:t>坚持多渠道、多形式开展政务公开工作，丰富公开形式，创新公开载体，不断扩大各项政策及工作的知晓面。充分利用镇政府大院内设立的政府信息公开专栏及三农便民服务中心门口的公示栏，及时发布公示信息，并着重在武平东留网微信公众号、政务公开信息网等网上平台公开政务信息，使政务公开工作不流于形式，让群众可以通过多渠道获取政务信息，自觉接受群众的监督。充分发挥政务公开综合效益，让政府权力在阳光下运行，全渠道回应社会关切，及时更新网站内容，强化网上政务公开和政务服务功能。</w:t>
      </w:r>
    </w:p>
    <w:p>
      <w:pPr>
        <w:pStyle w:val="2"/>
        <w:keepNext w:val="0"/>
        <w:keepLines w:val="0"/>
        <w:widowControl/>
        <w:suppressLineNumbers w:val="0"/>
        <w:spacing w:before="0" w:beforeAutospacing="0" w:after="0" w:afterAutospacing="0" w:line="560" w:lineRule="exact"/>
        <w:ind w:left="0" w:firstLine="640"/>
        <w:rPr>
          <w:rFonts w:hint="eastAsia" w:ascii="宋体" w:hAnsi="宋体" w:eastAsia="宋体" w:cs="宋体"/>
          <w:sz w:val="24"/>
          <w:szCs w:val="24"/>
        </w:rPr>
      </w:pPr>
      <w:r>
        <w:rPr>
          <w:rFonts w:hint="eastAsia" w:ascii="楷体_GB2312" w:hAnsi="楷体_GB2312" w:eastAsia="楷体_GB2312" w:cs="楷体_GB2312"/>
          <w:b/>
          <w:bCs/>
          <w:sz w:val="32"/>
          <w:szCs w:val="32"/>
        </w:rPr>
        <w:t>（三）规范信息建设，提高政务公开质量</w:t>
      </w:r>
    </w:p>
    <w:p>
      <w:pPr>
        <w:keepNext w:val="0"/>
        <w:keepLines w:val="0"/>
        <w:widowControl/>
        <w:suppressLineNumbers w:val="0"/>
        <w:spacing w:beforeAutospacing="1" w:afterAutospacing="1" w:line="560" w:lineRule="exact"/>
        <w:ind w:left="0" w:right="0" w:firstLine="640" w:firstLineChars="200"/>
        <w:jc w:val="left"/>
      </w:pPr>
      <w:r>
        <w:rPr>
          <w:rFonts w:hint="eastAsia" w:ascii="仿宋_GB2312" w:hAnsi="仿宋_GB2312" w:eastAsia="仿宋_GB2312" w:cs="仿宋_GB2312"/>
          <w:kern w:val="0"/>
          <w:sz w:val="32"/>
          <w:szCs w:val="32"/>
          <w:lang w:val="en-US" w:eastAsia="zh-CN" w:bidi="ar"/>
        </w:rPr>
        <w:t>按照《条例》规定，严格执行政府信息公开申请处理流程，确保公开工作有序衔接、平稳过渡。根据《办法》要求，加强业务培训、指导交流、强化考核，贯彻落实信息公开审核制度，严格审核公开内容，规范公开流程，确保信息发布的全面性、准确性和规范性。同时结合保密工作及时根据《东留镇人民政府上网信息发布审批单》要求做好记录，有效健全和完善了信息公开工作的相关制度,确保政府信息公开工作及时有效开展。</w:t>
      </w:r>
    </w:p>
    <w:p>
      <w:pPr>
        <w:keepNext w:val="0"/>
        <w:keepLines w:val="0"/>
        <w:widowControl/>
        <w:suppressLineNumbers w:val="0"/>
        <w:adjustRightInd w:val="0"/>
        <w:spacing w:beforeAutospacing="1" w:afterAutospacing="1" w:line="560" w:lineRule="exact"/>
        <w:ind w:left="0" w:right="0" w:firstLine="643" w:firstLineChars="200"/>
        <w:jc w:val="left"/>
      </w:pPr>
      <w:r>
        <w:rPr>
          <w:rFonts w:hint="eastAsia" w:ascii="楷体_GB2312" w:hAnsi="楷体_GB2312" w:eastAsia="楷体_GB2312" w:cs="楷体_GB2312"/>
          <w:b/>
          <w:bCs/>
          <w:kern w:val="0"/>
          <w:sz w:val="32"/>
          <w:szCs w:val="32"/>
          <w:lang w:val="en-US" w:eastAsia="zh-CN" w:bidi="ar"/>
        </w:rPr>
        <w:t>（四）主动公开政府信息的情况</w:t>
      </w:r>
    </w:p>
    <w:p>
      <w:pPr>
        <w:keepNext w:val="0"/>
        <w:keepLines w:val="0"/>
        <w:widowControl/>
        <w:suppressLineNumbers w:val="0"/>
        <w:adjustRightInd w:val="0"/>
        <w:spacing w:beforeAutospacing="1" w:afterAutospacing="1" w:line="560" w:lineRule="exact"/>
        <w:ind w:left="0" w:right="0" w:firstLine="640" w:firstLineChars="200"/>
        <w:jc w:val="left"/>
      </w:pPr>
      <w:r>
        <w:rPr>
          <w:rFonts w:hint="eastAsia" w:ascii="仿宋_GB2312" w:hAnsi="仿宋_GB2312" w:eastAsia="仿宋_GB2312" w:cs="仿宋_GB2312"/>
          <w:kern w:val="0"/>
          <w:sz w:val="32"/>
          <w:szCs w:val="32"/>
          <w:lang w:val="en-US" w:eastAsia="zh-CN" w:bidi="ar"/>
        </w:rPr>
        <w:t>2020年我镇通过政府信息公开栏等方式主动公开政府信息数25条（历年累计主动公开政府信息数490条），其中通知公告21条、工作动态4条，同时公布了政府政务公开咨询电话，方便群众咨询。</w:t>
      </w:r>
    </w:p>
    <w:p>
      <w:pPr>
        <w:keepNext w:val="0"/>
        <w:keepLines w:val="0"/>
        <w:widowControl/>
        <w:suppressLineNumbers w:val="0"/>
        <w:adjustRightInd w:val="0"/>
        <w:spacing w:beforeAutospacing="1" w:afterAutospacing="1" w:line="560" w:lineRule="exact"/>
        <w:ind w:left="0" w:right="0" w:firstLine="643" w:firstLineChars="200"/>
        <w:jc w:val="left"/>
      </w:pPr>
      <w:r>
        <w:rPr>
          <w:rFonts w:hint="eastAsia" w:ascii="楷体_GB2312" w:hAnsi="楷体_GB2312" w:eastAsia="楷体_GB2312" w:cs="楷体_GB2312"/>
          <w:b/>
          <w:bCs/>
          <w:kern w:val="0"/>
          <w:sz w:val="32"/>
          <w:szCs w:val="32"/>
          <w:lang w:val="en-US" w:eastAsia="zh-CN" w:bidi="ar"/>
        </w:rPr>
        <w:t>（五）政府信息依申请公开办理情况</w:t>
      </w:r>
    </w:p>
    <w:p>
      <w:pPr>
        <w:keepNext w:val="0"/>
        <w:keepLines w:val="0"/>
        <w:widowControl/>
        <w:suppressLineNumbers w:val="0"/>
        <w:adjustRightInd w:val="0"/>
        <w:spacing w:beforeAutospacing="1" w:afterAutospacing="1" w:line="560" w:lineRule="exact"/>
        <w:ind w:left="0" w:right="0" w:firstLine="640" w:firstLineChars="200"/>
        <w:jc w:val="left"/>
      </w:pPr>
      <w:r>
        <w:rPr>
          <w:rFonts w:hint="eastAsia" w:ascii="仿宋_GB2312" w:hAnsi="仿宋_GB2312" w:eastAsia="仿宋_GB2312" w:cs="仿宋_GB2312"/>
          <w:kern w:val="0"/>
          <w:sz w:val="32"/>
          <w:szCs w:val="32"/>
          <w:lang w:val="en-US" w:eastAsia="zh-CN" w:bidi="ar"/>
        </w:rPr>
        <w:t>2020年度我镇没有接到群众主动要求公开政府信息的申请。目前尚无发现应主动公开政府信息而未予公开的情况。</w:t>
      </w:r>
    </w:p>
    <w:p>
      <w:pPr>
        <w:keepNext w:val="0"/>
        <w:keepLines w:val="0"/>
        <w:widowControl/>
        <w:suppressLineNumbers w:val="0"/>
        <w:adjustRightInd w:val="0"/>
        <w:spacing w:beforeAutospacing="1" w:afterAutospacing="1" w:line="560" w:lineRule="exact"/>
        <w:ind w:left="0" w:right="0" w:firstLine="643" w:firstLineChars="200"/>
        <w:jc w:val="left"/>
      </w:pPr>
      <w:r>
        <w:rPr>
          <w:rFonts w:hint="eastAsia" w:ascii="楷体_GB2312" w:hAnsi="楷体_GB2312" w:eastAsia="楷体_GB2312" w:cs="楷体_GB2312"/>
          <w:b/>
          <w:bCs/>
          <w:kern w:val="0"/>
          <w:sz w:val="32"/>
          <w:szCs w:val="32"/>
          <w:lang w:val="en-US" w:eastAsia="zh-CN" w:bidi="ar"/>
        </w:rPr>
        <w:t>（六）因政府信息公开申请行政复议、提起行政诉讼的情况</w:t>
      </w:r>
    </w:p>
    <w:p>
      <w:pPr>
        <w:keepNext w:val="0"/>
        <w:keepLines w:val="0"/>
        <w:widowControl/>
        <w:suppressLineNumbers w:val="0"/>
        <w:adjustRightInd w:val="0"/>
        <w:spacing w:beforeAutospacing="1" w:afterAutospacing="1" w:line="560" w:lineRule="exact"/>
        <w:ind w:left="0" w:right="0" w:firstLine="640" w:firstLineChars="200"/>
        <w:jc w:val="left"/>
      </w:pPr>
      <w:r>
        <w:rPr>
          <w:rFonts w:hint="eastAsia" w:ascii="仿宋_GB2312" w:hAnsi="仿宋_GB2312" w:eastAsia="仿宋_GB2312" w:cs="仿宋_GB2312"/>
          <w:kern w:val="0"/>
          <w:sz w:val="32"/>
          <w:szCs w:val="32"/>
          <w:lang w:val="en-US" w:eastAsia="zh-CN" w:bidi="ar"/>
        </w:rPr>
        <w:t>2020年度我镇未发生针对本单位有关政府信息公开事务的行政复议案、行政诉讼案和有关的申诉案</w:t>
      </w:r>
    </w:p>
    <w:p>
      <w:pPr>
        <w:keepNext w:val="0"/>
        <w:keepLines w:val="0"/>
        <w:widowControl/>
        <w:suppressLineNumbers w:val="0"/>
        <w:spacing w:beforeAutospacing="1" w:afterAutospacing="1" w:line="300" w:lineRule="exact"/>
        <w:ind w:left="0" w:right="0"/>
        <w:jc w:val="left"/>
      </w:pPr>
      <w:r>
        <w:rPr>
          <w:rFonts w:hint="eastAsia" w:ascii="黑体" w:hAnsi="宋体" w:eastAsia="黑体" w:cs="黑体"/>
          <w:color w:val="333333"/>
          <w:kern w:val="0"/>
          <w:sz w:val="32"/>
          <w:szCs w:val="32"/>
          <w:lang w:val="en-US" w:eastAsia="zh-CN" w:bidi="ar"/>
        </w:rPr>
        <w:t> </w:t>
      </w:r>
    </w:p>
    <w:p>
      <w:pPr>
        <w:keepNext w:val="0"/>
        <w:keepLines w:val="0"/>
        <w:widowControl/>
        <w:numPr>
          <w:numId w:val="0"/>
        </w:numPr>
        <w:suppressLineNumbers w:val="0"/>
        <w:spacing w:beforeAutospacing="1" w:afterAutospacing="1" w:line="560" w:lineRule="exact"/>
        <w:ind w:left="0" w:right="0" w:firstLine="640" w:firstLineChars="200"/>
        <w:jc w:val="left"/>
      </w:pPr>
      <w:r>
        <w:rPr>
          <w:rFonts w:hint="eastAsia" w:ascii="黑体" w:hAnsi="宋体" w:eastAsia="黑体" w:cs="黑体"/>
          <w:color w:val="333333"/>
          <w:kern w:val="0"/>
          <w:sz w:val="32"/>
          <w:szCs w:val="32"/>
          <w:lang w:val="en-US" w:eastAsia="zh-CN" w:bidi="ar"/>
        </w:rPr>
        <w:t>二、主动公开政府信息情况</w:t>
      </w:r>
    </w:p>
    <w:p>
      <w:pPr>
        <w:keepNext w:val="0"/>
        <w:keepLines w:val="0"/>
        <w:widowControl/>
        <w:suppressLineNumbers w:val="0"/>
        <w:spacing w:beforeAutospacing="1" w:afterAutospacing="1" w:line="300" w:lineRule="exact"/>
        <w:ind w:left="0" w:right="0"/>
        <w:jc w:val="left"/>
      </w:pPr>
      <w:r>
        <w:rPr>
          <w:rFonts w:hint="eastAsia" w:ascii="黑体" w:hAnsi="宋体" w:eastAsia="黑体" w:cs="黑体"/>
          <w:color w:val="333333"/>
          <w:kern w:val="0"/>
          <w:sz w:val="32"/>
          <w:szCs w:val="32"/>
          <w:lang w:val="en-US" w:eastAsia="zh-CN" w:bidi="ar"/>
        </w:rPr>
        <w:t> </w:t>
      </w:r>
    </w:p>
    <w:tbl>
      <w:tblPr>
        <w:tblW w:w="8525" w:type="dxa"/>
        <w:jc w:val="center"/>
        <w:shd w:val="clear"/>
        <w:tblLayout w:type="autofit"/>
        <w:tblCellMar>
          <w:top w:w="0" w:type="dxa"/>
          <w:left w:w="0" w:type="dxa"/>
          <w:bottom w:w="0" w:type="dxa"/>
          <w:right w:w="0" w:type="dxa"/>
        </w:tblCellMar>
      </w:tblPr>
      <w:tblGrid>
        <w:gridCol w:w="2387"/>
        <w:gridCol w:w="2088"/>
        <w:gridCol w:w="1909"/>
        <w:gridCol w:w="2141"/>
      </w:tblGrid>
      <w:tr>
        <w:tblPrEx>
          <w:shd w:val="clear"/>
          <w:tblCellMar>
            <w:top w:w="0" w:type="dxa"/>
            <w:left w:w="0" w:type="dxa"/>
            <w:bottom w:w="0" w:type="dxa"/>
            <w:right w:w="0" w:type="dxa"/>
          </w:tblCellMar>
        </w:tblPrEx>
        <w:trPr>
          <w:cantSplit/>
          <w:trHeight w:val="580" w:hRule="atLeast"/>
          <w:jc w:val="center"/>
        </w:trPr>
        <w:tc>
          <w:tcPr>
            <w:tcW w:w="8525" w:type="dxa"/>
            <w:gridSpan w:val="4"/>
            <w:tcBorders>
              <w:top w:val="single" w:color="auto" w:sz="8" w:space="0"/>
              <w:left w:val="single" w:color="auto" w:sz="8" w:space="0"/>
              <w:bottom w:val="single" w:color="auto" w:sz="8" w:space="0"/>
              <w:right w:val="single" w:color="auto" w:sz="8" w:space="0"/>
            </w:tcBorders>
            <w:shd w:val="clear" w:color="auto" w:fill="C6D9F1"/>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第二十条第（一）项</w:t>
            </w:r>
          </w:p>
        </w:tc>
      </w:tr>
      <w:tr>
        <w:tblPrEx>
          <w:tblCellMar>
            <w:top w:w="0" w:type="dxa"/>
            <w:left w:w="0" w:type="dxa"/>
            <w:bottom w:w="0" w:type="dxa"/>
            <w:right w:w="0" w:type="dxa"/>
          </w:tblCellMar>
        </w:tblPrEx>
        <w:trPr>
          <w:cantSplit/>
          <w:trHeight w:val="761" w:hRule="atLeast"/>
          <w:jc w:val="center"/>
        </w:trPr>
        <w:tc>
          <w:tcPr>
            <w:tcW w:w="238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信息内容</w:t>
            </w:r>
          </w:p>
        </w:tc>
        <w:tc>
          <w:tcPr>
            <w:tcW w:w="2088"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本年新制作数量</w:t>
            </w:r>
          </w:p>
        </w:tc>
        <w:tc>
          <w:tcPr>
            <w:tcW w:w="1909"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本年新公开数量</w:t>
            </w:r>
          </w:p>
        </w:tc>
        <w:tc>
          <w:tcPr>
            <w:tcW w:w="21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对外公开总数量</w:t>
            </w:r>
          </w:p>
        </w:tc>
      </w:tr>
      <w:tr>
        <w:tblPrEx>
          <w:tblCellMar>
            <w:top w:w="0" w:type="dxa"/>
            <w:left w:w="0" w:type="dxa"/>
            <w:bottom w:w="0" w:type="dxa"/>
            <w:right w:w="0" w:type="dxa"/>
          </w:tblCellMar>
        </w:tblPrEx>
        <w:trPr>
          <w:cantSplit/>
          <w:trHeight w:val="521" w:hRule="atLeast"/>
          <w:jc w:val="center"/>
        </w:trPr>
        <w:tc>
          <w:tcPr>
            <w:tcW w:w="238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规章</w:t>
            </w:r>
          </w:p>
        </w:tc>
        <w:tc>
          <w:tcPr>
            <w:tcW w:w="20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0</w:t>
            </w:r>
          </w:p>
        </w:tc>
        <w:tc>
          <w:tcPr>
            <w:tcW w:w="190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0</w:t>
            </w:r>
          </w:p>
        </w:tc>
        <w:tc>
          <w:tcPr>
            <w:tcW w:w="21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0</w:t>
            </w:r>
          </w:p>
        </w:tc>
      </w:tr>
      <w:tr>
        <w:tblPrEx>
          <w:tblCellMar>
            <w:top w:w="0" w:type="dxa"/>
            <w:left w:w="0" w:type="dxa"/>
            <w:bottom w:w="0" w:type="dxa"/>
            <w:right w:w="0" w:type="dxa"/>
          </w:tblCellMar>
        </w:tblPrEx>
        <w:trPr>
          <w:cantSplit/>
          <w:trHeight w:val="556" w:hRule="atLeast"/>
          <w:jc w:val="center"/>
        </w:trPr>
        <w:tc>
          <w:tcPr>
            <w:tcW w:w="238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规范性文件</w:t>
            </w:r>
          </w:p>
        </w:tc>
        <w:tc>
          <w:tcPr>
            <w:tcW w:w="20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000000"/>
                <w:kern w:val="0"/>
                <w:sz w:val="20"/>
                <w:szCs w:val="20"/>
                <w:bdr w:val="none" w:color="auto" w:sz="0" w:space="0"/>
                <w:lang w:val="en-US" w:eastAsia="zh-CN" w:bidi="ar"/>
              </w:rPr>
              <w:t>3</w:t>
            </w:r>
          </w:p>
        </w:tc>
        <w:tc>
          <w:tcPr>
            <w:tcW w:w="190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000000"/>
                <w:kern w:val="0"/>
                <w:sz w:val="20"/>
                <w:szCs w:val="20"/>
                <w:bdr w:val="none" w:color="auto" w:sz="0" w:space="0"/>
                <w:lang w:val="en-US" w:eastAsia="zh-CN" w:bidi="ar"/>
              </w:rPr>
              <w:t>3</w:t>
            </w:r>
          </w:p>
        </w:tc>
        <w:tc>
          <w:tcPr>
            <w:tcW w:w="21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000000"/>
                <w:kern w:val="0"/>
                <w:sz w:val="20"/>
                <w:szCs w:val="20"/>
                <w:bdr w:val="none" w:color="auto" w:sz="0" w:space="0"/>
                <w:lang w:val="en-US" w:eastAsia="zh-CN" w:bidi="ar"/>
              </w:rPr>
              <w:t>6</w:t>
            </w:r>
          </w:p>
        </w:tc>
      </w:tr>
      <w:tr>
        <w:tblPrEx>
          <w:tblCellMar>
            <w:top w:w="0" w:type="dxa"/>
            <w:left w:w="0" w:type="dxa"/>
            <w:bottom w:w="0" w:type="dxa"/>
            <w:right w:w="0" w:type="dxa"/>
          </w:tblCellMar>
        </w:tblPrEx>
        <w:trPr>
          <w:cantSplit/>
          <w:trHeight w:val="565" w:hRule="atLeast"/>
          <w:jc w:val="center"/>
        </w:trPr>
        <w:tc>
          <w:tcPr>
            <w:tcW w:w="8525"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第二十条第（五）项</w:t>
            </w:r>
          </w:p>
        </w:tc>
      </w:tr>
      <w:tr>
        <w:tblPrEx>
          <w:tblCellMar>
            <w:top w:w="0" w:type="dxa"/>
            <w:left w:w="0" w:type="dxa"/>
            <w:bottom w:w="0" w:type="dxa"/>
            <w:right w:w="0" w:type="dxa"/>
          </w:tblCellMar>
        </w:tblPrEx>
        <w:trPr>
          <w:cantSplit/>
          <w:trHeight w:val="727" w:hRule="atLeast"/>
          <w:jc w:val="center"/>
        </w:trPr>
        <w:tc>
          <w:tcPr>
            <w:tcW w:w="238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信息内容</w:t>
            </w:r>
          </w:p>
        </w:tc>
        <w:tc>
          <w:tcPr>
            <w:tcW w:w="2088"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上一年项目数量</w:t>
            </w:r>
          </w:p>
        </w:tc>
        <w:tc>
          <w:tcPr>
            <w:tcW w:w="1909"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本年增/减</w:t>
            </w:r>
          </w:p>
        </w:tc>
        <w:tc>
          <w:tcPr>
            <w:tcW w:w="21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处理决定数量</w:t>
            </w:r>
          </w:p>
        </w:tc>
      </w:tr>
      <w:tr>
        <w:tblPrEx>
          <w:tblCellMar>
            <w:top w:w="0" w:type="dxa"/>
            <w:left w:w="0" w:type="dxa"/>
            <w:bottom w:w="0" w:type="dxa"/>
            <w:right w:w="0" w:type="dxa"/>
          </w:tblCellMar>
        </w:tblPrEx>
        <w:trPr>
          <w:cantSplit/>
          <w:trHeight w:val="616" w:hRule="atLeast"/>
          <w:jc w:val="center"/>
        </w:trPr>
        <w:tc>
          <w:tcPr>
            <w:tcW w:w="238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行政许可</w:t>
            </w:r>
          </w:p>
        </w:tc>
        <w:tc>
          <w:tcPr>
            <w:tcW w:w="20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24</w:t>
            </w:r>
          </w:p>
        </w:tc>
        <w:tc>
          <w:tcPr>
            <w:tcW w:w="190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0</w:t>
            </w:r>
          </w:p>
        </w:tc>
        <w:tc>
          <w:tcPr>
            <w:tcW w:w="21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420</w:t>
            </w:r>
          </w:p>
        </w:tc>
      </w:tr>
      <w:tr>
        <w:tblPrEx>
          <w:tblCellMar>
            <w:top w:w="0" w:type="dxa"/>
            <w:left w:w="0" w:type="dxa"/>
            <w:bottom w:w="0" w:type="dxa"/>
            <w:right w:w="0" w:type="dxa"/>
          </w:tblCellMar>
        </w:tblPrEx>
        <w:trPr>
          <w:cantSplit/>
          <w:trHeight w:val="638" w:hRule="atLeast"/>
          <w:jc w:val="center"/>
        </w:trPr>
        <w:tc>
          <w:tcPr>
            <w:tcW w:w="238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其他对外管理服务事项</w:t>
            </w:r>
          </w:p>
        </w:tc>
        <w:tc>
          <w:tcPr>
            <w:tcW w:w="20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73</w:t>
            </w:r>
          </w:p>
        </w:tc>
        <w:tc>
          <w:tcPr>
            <w:tcW w:w="190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0</w:t>
            </w:r>
          </w:p>
        </w:tc>
        <w:tc>
          <w:tcPr>
            <w:tcW w:w="21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705</w:t>
            </w:r>
          </w:p>
        </w:tc>
      </w:tr>
      <w:tr>
        <w:tblPrEx>
          <w:tblCellMar>
            <w:top w:w="0" w:type="dxa"/>
            <w:left w:w="0" w:type="dxa"/>
            <w:bottom w:w="0" w:type="dxa"/>
            <w:right w:w="0" w:type="dxa"/>
          </w:tblCellMar>
        </w:tblPrEx>
        <w:trPr>
          <w:cantSplit/>
          <w:trHeight w:val="487" w:hRule="atLeast"/>
          <w:jc w:val="center"/>
        </w:trPr>
        <w:tc>
          <w:tcPr>
            <w:tcW w:w="8525"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第二十条第（六）项</w:t>
            </w:r>
          </w:p>
        </w:tc>
      </w:tr>
      <w:tr>
        <w:tblPrEx>
          <w:tblCellMar>
            <w:top w:w="0" w:type="dxa"/>
            <w:left w:w="0" w:type="dxa"/>
            <w:bottom w:w="0" w:type="dxa"/>
            <w:right w:w="0" w:type="dxa"/>
          </w:tblCellMar>
        </w:tblPrEx>
        <w:trPr>
          <w:cantSplit/>
          <w:trHeight w:val="727" w:hRule="atLeast"/>
          <w:jc w:val="center"/>
        </w:trPr>
        <w:tc>
          <w:tcPr>
            <w:tcW w:w="238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信息内容</w:t>
            </w:r>
          </w:p>
        </w:tc>
        <w:tc>
          <w:tcPr>
            <w:tcW w:w="2088"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上一年项目数量</w:t>
            </w:r>
          </w:p>
        </w:tc>
        <w:tc>
          <w:tcPr>
            <w:tcW w:w="1909"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本年增/减</w:t>
            </w:r>
          </w:p>
        </w:tc>
        <w:tc>
          <w:tcPr>
            <w:tcW w:w="21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处理决定数量</w:t>
            </w:r>
          </w:p>
        </w:tc>
      </w:tr>
      <w:tr>
        <w:tblPrEx>
          <w:tblCellMar>
            <w:top w:w="0" w:type="dxa"/>
            <w:left w:w="0" w:type="dxa"/>
            <w:bottom w:w="0" w:type="dxa"/>
            <w:right w:w="0" w:type="dxa"/>
          </w:tblCellMar>
        </w:tblPrEx>
        <w:trPr>
          <w:cantSplit/>
          <w:trHeight w:val="389" w:hRule="atLeast"/>
          <w:jc w:val="center"/>
        </w:trPr>
        <w:tc>
          <w:tcPr>
            <w:tcW w:w="238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行政处罚</w:t>
            </w:r>
          </w:p>
        </w:tc>
        <w:tc>
          <w:tcPr>
            <w:tcW w:w="20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0</w:t>
            </w:r>
          </w:p>
        </w:tc>
        <w:tc>
          <w:tcPr>
            <w:tcW w:w="190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0</w:t>
            </w:r>
          </w:p>
        </w:tc>
        <w:tc>
          <w:tcPr>
            <w:tcW w:w="21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0</w:t>
            </w:r>
          </w:p>
        </w:tc>
      </w:tr>
      <w:tr>
        <w:tblPrEx>
          <w:tblCellMar>
            <w:top w:w="0" w:type="dxa"/>
            <w:left w:w="0" w:type="dxa"/>
            <w:bottom w:w="0" w:type="dxa"/>
            <w:right w:w="0" w:type="dxa"/>
          </w:tblCellMar>
        </w:tblPrEx>
        <w:trPr>
          <w:cantSplit/>
          <w:trHeight w:val="490" w:hRule="atLeast"/>
          <w:jc w:val="center"/>
        </w:trPr>
        <w:tc>
          <w:tcPr>
            <w:tcW w:w="238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行政强制</w:t>
            </w:r>
          </w:p>
        </w:tc>
        <w:tc>
          <w:tcPr>
            <w:tcW w:w="20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0</w:t>
            </w:r>
          </w:p>
        </w:tc>
        <w:tc>
          <w:tcPr>
            <w:tcW w:w="190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0</w:t>
            </w:r>
          </w:p>
        </w:tc>
        <w:tc>
          <w:tcPr>
            <w:tcW w:w="214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0</w:t>
            </w:r>
          </w:p>
        </w:tc>
      </w:tr>
      <w:tr>
        <w:tblPrEx>
          <w:tblCellMar>
            <w:top w:w="0" w:type="dxa"/>
            <w:left w:w="0" w:type="dxa"/>
            <w:bottom w:w="0" w:type="dxa"/>
            <w:right w:w="0" w:type="dxa"/>
          </w:tblCellMar>
        </w:tblPrEx>
        <w:trPr>
          <w:cantSplit/>
          <w:trHeight w:val="559" w:hRule="atLeast"/>
          <w:jc w:val="center"/>
        </w:trPr>
        <w:tc>
          <w:tcPr>
            <w:tcW w:w="8525"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第二十条第（八）项</w:t>
            </w:r>
          </w:p>
        </w:tc>
      </w:tr>
      <w:tr>
        <w:tblPrEx>
          <w:tblCellMar>
            <w:top w:w="0" w:type="dxa"/>
            <w:left w:w="0" w:type="dxa"/>
            <w:bottom w:w="0" w:type="dxa"/>
            <w:right w:w="0" w:type="dxa"/>
          </w:tblCellMar>
        </w:tblPrEx>
        <w:trPr>
          <w:cantSplit/>
          <w:trHeight w:val="389" w:hRule="atLeast"/>
          <w:jc w:val="center"/>
        </w:trPr>
        <w:tc>
          <w:tcPr>
            <w:tcW w:w="238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信息内容</w:t>
            </w:r>
          </w:p>
        </w:tc>
        <w:tc>
          <w:tcPr>
            <w:tcW w:w="20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上一年项目数量</w:t>
            </w:r>
          </w:p>
        </w:tc>
        <w:tc>
          <w:tcPr>
            <w:tcW w:w="4050" w:type="dxa"/>
            <w:gridSpan w:val="2"/>
            <w:tcBorders>
              <w:top w:val="single" w:color="auto" w:sz="8" w:space="0"/>
              <w:left w:val="nil"/>
              <w:bottom w:val="single" w:color="auto" w:sz="8" w:space="0"/>
              <w:right w:val="single" w:color="000000"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本年增/减</w:t>
            </w:r>
          </w:p>
        </w:tc>
      </w:tr>
      <w:tr>
        <w:tblPrEx>
          <w:tblCellMar>
            <w:top w:w="0" w:type="dxa"/>
            <w:left w:w="0" w:type="dxa"/>
            <w:bottom w:w="0" w:type="dxa"/>
            <w:right w:w="0" w:type="dxa"/>
          </w:tblCellMar>
        </w:tblPrEx>
        <w:trPr>
          <w:cantSplit/>
          <w:trHeight w:val="639" w:hRule="atLeast"/>
          <w:jc w:val="center"/>
        </w:trPr>
        <w:tc>
          <w:tcPr>
            <w:tcW w:w="238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行政事业性收费</w:t>
            </w:r>
          </w:p>
        </w:tc>
        <w:tc>
          <w:tcPr>
            <w:tcW w:w="20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0</w:t>
            </w:r>
          </w:p>
        </w:tc>
        <w:tc>
          <w:tcPr>
            <w:tcW w:w="4050" w:type="dxa"/>
            <w:gridSpan w:val="2"/>
            <w:tcBorders>
              <w:top w:val="nil"/>
              <w:left w:val="nil"/>
              <w:bottom w:val="single" w:color="auto" w:sz="8" w:space="0"/>
              <w:right w:val="single" w:color="000000"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0</w:t>
            </w:r>
          </w:p>
        </w:tc>
      </w:tr>
      <w:tr>
        <w:tblPrEx>
          <w:tblCellMar>
            <w:top w:w="0" w:type="dxa"/>
            <w:left w:w="0" w:type="dxa"/>
            <w:bottom w:w="0" w:type="dxa"/>
            <w:right w:w="0" w:type="dxa"/>
          </w:tblCellMar>
        </w:tblPrEx>
        <w:trPr>
          <w:cantSplit/>
          <w:trHeight w:val="561" w:hRule="atLeast"/>
          <w:jc w:val="center"/>
        </w:trPr>
        <w:tc>
          <w:tcPr>
            <w:tcW w:w="8525"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第二十条第（九）项</w:t>
            </w:r>
          </w:p>
        </w:tc>
      </w:tr>
      <w:tr>
        <w:tblPrEx>
          <w:tblCellMar>
            <w:top w:w="0" w:type="dxa"/>
            <w:left w:w="0" w:type="dxa"/>
            <w:bottom w:w="0" w:type="dxa"/>
            <w:right w:w="0" w:type="dxa"/>
          </w:tblCellMar>
        </w:tblPrEx>
        <w:trPr>
          <w:cantSplit/>
          <w:trHeight w:val="676" w:hRule="atLeast"/>
          <w:jc w:val="center"/>
        </w:trPr>
        <w:tc>
          <w:tcPr>
            <w:tcW w:w="238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信息内容</w:t>
            </w:r>
          </w:p>
        </w:tc>
        <w:tc>
          <w:tcPr>
            <w:tcW w:w="20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采购项目数量</w:t>
            </w:r>
          </w:p>
        </w:tc>
        <w:tc>
          <w:tcPr>
            <w:tcW w:w="4050" w:type="dxa"/>
            <w:gridSpan w:val="2"/>
            <w:tcBorders>
              <w:top w:val="single" w:color="auto" w:sz="8" w:space="0"/>
              <w:left w:val="nil"/>
              <w:bottom w:val="single" w:color="auto" w:sz="8" w:space="0"/>
              <w:right w:val="single" w:color="000000"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采购总金额（元）</w:t>
            </w:r>
          </w:p>
        </w:tc>
      </w:tr>
      <w:tr>
        <w:tblPrEx>
          <w:tblCellMar>
            <w:top w:w="0" w:type="dxa"/>
            <w:left w:w="0" w:type="dxa"/>
            <w:bottom w:w="0" w:type="dxa"/>
            <w:right w:w="0" w:type="dxa"/>
          </w:tblCellMar>
        </w:tblPrEx>
        <w:trPr>
          <w:cantSplit/>
          <w:trHeight w:val="689" w:hRule="atLeast"/>
          <w:jc w:val="center"/>
        </w:trPr>
        <w:tc>
          <w:tcPr>
            <w:tcW w:w="2387"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333333"/>
                <w:kern w:val="0"/>
                <w:sz w:val="20"/>
                <w:szCs w:val="20"/>
                <w:bdr w:val="none" w:color="auto" w:sz="0" w:space="0"/>
                <w:lang w:val="en-US" w:eastAsia="zh-CN" w:bidi="ar"/>
              </w:rPr>
              <w:t>政府集中采购</w:t>
            </w:r>
          </w:p>
        </w:tc>
        <w:tc>
          <w:tcPr>
            <w:tcW w:w="208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000000"/>
                <w:kern w:val="0"/>
                <w:sz w:val="20"/>
                <w:szCs w:val="20"/>
                <w:bdr w:val="none" w:color="auto" w:sz="0" w:space="0"/>
                <w:lang w:val="en-US" w:eastAsia="zh-CN" w:bidi="ar"/>
              </w:rPr>
              <w:t>1</w:t>
            </w:r>
          </w:p>
        </w:tc>
        <w:tc>
          <w:tcPr>
            <w:tcW w:w="4050" w:type="dxa"/>
            <w:gridSpan w:val="2"/>
            <w:tcBorders>
              <w:top w:val="nil"/>
              <w:left w:val="nil"/>
              <w:bottom w:val="single" w:color="auto" w:sz="8" w:space="0"/>
              <w:right w:val="single" w:color="000000"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宋体" w:hAnsi="宋体" w:eastAsia="宋体" w:cs="Helvetica"/>
                <w:color w:val="000000"/>
                <w:kern w:val="0"/>
                <w:sz w:val="20"/>
                <w:szCs w:val="20"/>
                <w:bdr w:val="none" w:color="auto" w:sz="0" w:space="0"/>
                <w:lang w:val="en-US" w:eastAsia="zh-CN" w:bidi="ar"/>
              </w:rPr>
              <w:t>36000元</w:t>
            </w:r>
          </w:p>
        </w:tc>
      </w:tr>
    </w:tbl>
    <w:p>
      <w:pPr>
        <w:keepNext w:val="0"/>
        <w:keepLines w:val="0"/>
        <w:widowControl/>
        <w:suppressLineNumbers w:val="0"/>
        <w:spacing w:beforeAutospacing="1" w:afterAutospacing="1" w:line="300" w:lineRule="exact"/>
        <w:ind w:left="0" w:right="0"/>
        <w:jc w:val="left"/>
      </w:pPr>
      <w:r>
        <w:rPr>
          <w:rFonts w:hint="eastAsia" w:ascii="黑体" w:hAnsi="宋体" w:eastAsia="黑体" w:cs="黑体"/>
          <w:color w:val="333333"/>
          <w:kern w:val="0"/>
          <w:sz w:val="32"/>
          <w:szCs w:val="32"/>
          <w:lang w:val="en-US" w:eastAsia="zh-CN" w:bidi="ar"/>
        </w:rPr>
        <w:t> </w:t>
      </w:r>
    </w:p>
    <w:p>
      <w:pPr>
        <w:keepNext w:val="0"/>
        <w:keepLines w:val="0"/>
        <w:widowControl/>
        <w:numPr>
          <w:numId w:val="0"/>
        </w:numPr>
        <w:suppressLineNumbers w:val="0"/>
        <w:spacing w:beforeAutospacing="1" w:afterAutospacing="1" w:line="432" w:lineRule="atLeast"/>
        <w:ind w:left="0" w:right="0" w:firstLine="640" w:firstLineChars="200"/>
        <w:jc w:val="left"/>
      </w:pPr>
      <w:r>
        <w:rPr>
          <w:rFonts w:hint="eastAsia" w:ascii="黑体" w:hAnsi="宋体" w:eastAsia="黑体" w:cs="黑体"/>
          <w:color w:val="333333"/>
          <w:kern w:val="0"/>
          <w:sz w:val="32"/>
          <w:szCs w:val="32"/>
          <w:lang w:val="en-US" w:eastAsia="zh-CN" w:bidi="ar"/>
        </w:rPr>
        <w:t>三、收到和处理政府信息公开申请情况</w:t>
      </w:r>
    </w:p>
    <w:p>
      <w:pPr>
        <w:keepNext w:val="0"/>
        <w:keepLines w:val="0"/>
        <w:widowControl/>
        <w:suppressLineNumbers w:val="0"/>
        <w:spacing w:beforeAutospacing="1" w:afterAutospacing="1" w:line="300" w:lineRule="exact"/>
        <w:ind w:left="0" w:right="0"/>
        <w:jc w:val="left"/>
      </w:pPr>
      <w:r>
        <w:rPr>
          <w:rFonts w:hint="eastAsia" w:ascii="黑体" w:hAnsi="宋体" w:eastAsia="黑体" w:cs="黑体"/>
          <w:color w:val="333333"/>
          <w:kern w:val="0"/>
          <w:sz w:val="32"/>
          <w:szCs w:val="32"/>
          <w:lang w:val="en-US" w:eastAsia="zh-CN" w:bidi="ar"/>
        </w:rPr>
        <w:t> </w:t>
      </w:r>
    </w:p>
    <w:tbl>
      <w:tblPr>
        <w:tblW w:w="8550" w:type="dxa"/>
        <w:jc w:val="center"/>
        <w:shd w:val="clear"/>
        <w:tblLayout w:type="fixed"/>
        <w:tblCellMar>
          <w:top w:w="0" w:type="dxa"/>
          <w:left w:w="0" w:type="dxa"/>
          <w:bottom w:w="0" w:type="dxa"/>
          <w:right w:w="0" w:type="dxa"/>
        </w:tblCellMar>
      </w:tblPr>
      <w:tblGrid>
        <w:gridCol w:w="447"/>
        <w:gridCol w:w="539"/>
        <w:gridCol w:w="2262"/>
        <w:gridCol w:w="685"/>
        <w:gridCol w:w="741"/>
        <w:gridCol w:w="741"/>
        <w:gridCol w:w="796"/>
        <w:gridCol w:w="949"/>
        <w:gridCol w:w="699"/>
        <w:gridCol w:w="685"/>
      </w:tblGrid>
      <w:tr>
        <w:tblPrEx>
          <w:shd w:val="clear"/>
          <w:tblCellMar>
            <w:top w:w="0" w:type="dxa"/>
            <w:left w:w="0" w:type="dxa"/>
            <w:bottom w:w="0" w:type="dxa"/>
            <w:right w:w="0" w:type="dxa"/>
          </w:tblCellMar>
        </w:tblPrEx>
        <w:trPr>
          <w:cantSplit/>
          <w:trHeight w:val="90" w:hRule="atLeast"/>
          <w:jc w:val="center"/>
        </w:trPr>
        <w:tc>
          <w:tcPr>
            <w:tcW w:w="3251" w:type="dxa"/>
            <w:gridSpan w:val="3"/>
            <w:vMerge w:val="restart"/>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（本列数据的勾稽关系为：第一项加第二项之和，等于第三项加第四项之和）</w:t>
            </w:r>
          </w:p>
        </w:tc>
        <w:tc>
          <w:tcPr>
            <w:tcW w:w="5303" w:type="dxa"/>
            <w:gridSpan w:val="7"/>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申请人情况</w:t>
            </w:r>
          </w:p>
        </w:tc>
      </w:tr>
      <w:tr>
        <w:tblPrEx>
          <w:tblCellMar>
            <w:top w:w="0" w:type="dxa"/>
            <w:left w:w="0" w:type="dxa"/>
            <w:bottom w:w="0" w:type="dxa"/>
            <w:right w:w="0" w:type="dxa"/>
          </w:tblCellMar>
        </w:tblPrEx>
        <w:trPr>
          <w:cantSplit/>
          <w:jc w:val="center"/>
        </w:trPr>
        <w:tc>
          <w:tcPr>
            <w:tcW w:w="3251" w:type="dxa"/>
            <w:gridSpan w:val="3"/>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686"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自然人</w:t>
            </w:r>
          </w:p>
        </w:tc>
        <w:tc>
          <w:tcPr>
            <w:tcW w:w="3931" w:type="dxa"/>
            <w:gridSpan w:val="5"/>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法人或其他组织</w:t>
            </w:r>
          </w:p>
        </w:tc>
        <w:tc>
          <w:tcPr>
            <w:tcW w:w="686"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总计</w:t>
            </w:r>
          </w:p>
        </w:tc>
      </w:tr>
      <w:tr>
        <w:tblPrEx>
          <w:tblCellMar>
            <w:top w:w="0" w:type="dxa"/>
            <w:left w:w="0" w:type="dxa"/>
            <w:bottom w:w="0" w:type="dxa"/>
            <w:right w:w="0" w:type="dxa"/>
          </w:tblCellMar>
        </w:tblPrEx>
        <w:trPr>
          <w:cantSplit/>
          <w:jc w:val="center"/>
        </w:trPr>
        <w:tc>
          <w:tcPr>
            <w:tcW w:w="3251" w:type="dxa"/>
            <w:gridSpan w:val="3"/>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686"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商业企业</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科研机构</w:t>
            </w:r>
          </w:p>
        </w:tc>
        <w:tc>
          <w:tcPr>
            <w:tcW w:w="797"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社会公益组织</w:t>
            </w:r>
          </w:p>
        </w:tc>
        <w:tc>
          <w:tcPr>
            <w:tcW w:w="950"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法律服务机构</w:t>
            </w:r>
          </w:p>
        </w:tc>
        <w:tc>
          <w:tcPr>
            <w:tcW w:w="700"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其他</w:t>
            </w:r>
          </w:p>
        </w:tc>
        <w:tc>
          <w:tcPr>
            <w:tcW w:w="686"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r>
      <w:tr>
        <w:tblPrEx>
          <w:tblCellMar>
            <w:top w:w="0" w:type="dxa"/>
            <w:left w:w="0" w:type="dxa"/>
            <w:bottom w:w="0" w:type="dxa"/>
            <w:right w:w="0" w:type="dxa"/>
          </w:tblCellMar>
        </w:tblPrEx>
        <w:trPr>
          <w:cantSplit/>
          <w:trHeight w:val="454" w:hRule="atLeast"/>
          <w:jc w:val="center"/>
        </w:trPr>
        <w:tc>
          <w:tcPr>
            <w:tcW w:w="3251" w:type="dxa"/>
            <w:gridSpan w:val="3"/>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一、本年新收政府信息公开申请数量</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trHeight w:val="454" w:hRule="atLeast"/>
          <w:jc w:val="center"/>
        </w:trPr>
        <w:tc>
          <w:tcPr>
            <w:tcW w:w="3251" w:type="dxa"/>
            <w:gridSpan w:val="3"/>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二、上年结转政府信息公开申请数量</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trHeight w:val="462" w:hRule="atLeast"/>
          <w:jc w:val="center"/>
        </w:trPr>
        <w:tc>
          <w:tcPr>
            <w:tcW w:w="448"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三、本年度办理结果</w:t>
            </w:r>
          </w:p>
        </w:tc>
        <w:tc>
          <w:tcPr>
            <w:tcW w:w="2803"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（一）予以公开</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jc w:val="center"/>
        </w:trPr>
        <w:tc>
          <w:tcPr>
            <w:tcW w:w="448"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2803"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（二）部分公开（区分处理的，只计这一情形，不计其他情形）</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trHeight w:val="454" w:hRule="atLeast"/>
          <w:jc w:val="center"/>
        </w:trPr>
        <w:tc>
          <w:tcPr>
            <w:tcW w:w="448"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540"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（三）不予公开</w:t>
            </w:r>
          </w:p>
        </w:tc>
        <w:tc>
          <w:tcPr>
            <w:tcW w:w="22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1.属于国家秘密</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jc w:val="center"/>
        </w:trPr>
        <w:tc>
          <w:tcPr>
            <w:tcW w:w="448"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54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22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2.其他法律行政法规禁止公开</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jc w:val="center"/>
        </w:trPr>
        <w:tc>
          <w:tcPr>
            <w:tcW w:w="448"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54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22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3.危及“三安全一稳定”</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jc w:val="center"/>
        </w:trPr>
        <w:tc>
          <w:tcPr>
            <w:tcW w:w="448"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54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22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4.保护第三方合法权益</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jc w:val="center"/>
        </w:trPr>
        <w:tc>
          <w:tcPr>
            <w:tcW w:w="448"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54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22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5.属于三类内部事务信息</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jc w:val="center"/>
        </w:trPr>
        <w:tc>
          <w:tcPr>
            <w:tcW w:w="448"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54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22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6.属于四类过程性信息</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trHeight w:val="417" w:hRule="atLeast"/>
          <w:jc w:val="center"/>
        </w:trPr>
        <w:tc>
          <w:tcPr>
            <w:tcW w:w="448"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54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22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7.属于行政执法案卷</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trHeight w:val="402" w:hRule="atLeast"/>
          <w:jc w:val="center"/>
        </w:trPr>
        <w:tc>
          <w:tcPr>
            <w:tcW w:w="448"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54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22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8.属于行政查询事项</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jc w:val="center"/>
        </w:trPr>
        <w:tc>
          <w:tcPr>
            <w:tcW w:w="448"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540"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（四）无法提供</w:t>
            </w:r>
          </w:p>
        </w:tc>
        <w:tc>
          <w:tcPr>
            <w:tcW w:w="22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1.本机关不掌握相关政府信息</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jc w:val="center"/>
        </w:trPr>
        <w:tc>
          <w:tcPr>
            <w:tcW w:w="448"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54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22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2.没有现成信息需要另行制作</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jc w:val="center"/>
        </w:trPr>
        <w:tc>
          <w:tcPr>
            <w:tcW w:w="448"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54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22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3.补正后申请内容仍不明确</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jc w:val="center"/>
        </w:trPr>
        <w:tc>
          <w:tcPr>
            <w:tcW w:w="448"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540"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（五）不予处理</w:t>
            </w:r>
          </w:p>
        </w:tc>
        <w:tc>
          <w:tcPr>
            <w:tcW w:w="22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1.信访举报投诉类申请</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jc w:val="center"/>
        </w:trPr>
        <w:tc>
          <w:tcPr>
            <w:tcW w:w="448"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54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22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2.重复申请</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jc w:val="center"/>
        </w:trPr>
        <w:tc>
          <w:tcPr>
            <w:tcW w:w="448"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54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22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3.要求提供公开出版物</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jc w:val="center"/>
        </w:trPr>
        <w:tc>
          <w:tcPr>
            <w:tcW w:w="448"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54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22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4.无正当理由大量反复申请</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jc w:val="center"/>
        </w:trPr>
        <w:tc>
          <w:tcPr>
            <w:tcW w:w="448"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54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22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5.要求行政机关确认或重新出具已获取信息</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trHeight w:val="447" w:hRule="atLeast"/>
          <w:jc w:val="center"/>
        </w:trPr>
        <w:tc>
          <w:tcPr>
            <w:tcW w:w="448"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2803"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（六）其他处理</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trHeight w:val="402" w:hRule="atLeast"/>
          <w:jc w:val="center"/>
        </w:trPr>
        <w:tc>
          <w:tcPr>
            <w:tcW w:w="448"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hAnsi="宋体" w:eastAsia="宋体" w:cs="宋体"/>
                <w:sz w:val="24"/>
                <w:szCs w:val="24"/>
              </w:rPr>
            </w:pPr>
          </w:p>
        </w:tc>
        <w:tc>
          <w:tcPr>
            <w:tcW w:w="2803"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（七）总计</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r>
        <w:tblPrEx>
          <w:tblCellMar>
            <w:top w:w="0" w:type="dxa"/>
            <w:left w:w="0" w:type="dxa"/>
            <w:bottom w:w="0" w:type="dxa"/>
            <w:right w:w="0" w:type="dxa"/>
          </w:tblCellMar>
        </w:tblPrEx>
        <w:trPr>
          <w:cantSplit/>
          <w:trHeight w:val="512" w:hRule="atLeast"/>
          <w:jc w:val="center"/>
        </w:trPr>
        <w:tc>
          <w:tcPr>
            <w:tcW w:w="3251" w:type="dxa"/>
            <w:gridSpan w:val="3"/>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left"/>
            </w:pPr>
            <w:r>
              <w:rPr>
                <w:rFonts w:hint="eastAsia" w:ascii="仿宋_GB2312" w:hAnsi="仿宋_GB2312" w:eastAsia="仿宋_GB2312" w:cs="仿宋_GB2312"/>
                <w:color w:val="333333"/>
                <w:kern w:val="0"/>
                <w:sz w:val="24"/>
                <w:szCs w:val="24"/>
                <w:bdr w:val="none" w:color="auto" w:sz="0" w:space="0"/>
                <w:lang w:val="en-US" w:eastAsia="zh-CN" w:bidi="ar"/>
              </w:rPr>
              <w:t>四、结转下年度继续办理</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4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97"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95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70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68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bl>
    <w:p>
      <w:pPr>
        <w:keepNext w:val="0"/>
        <w:keepLines w:val="0"/>
        <w:widowControl/>
        <w:suppressLineNumbers w:val="0"/>
        <w:spacing w:beforeAutospacing="1" w:afterAutospacing="1" w:line="300" w:lineRule="exact"/>
        <w:ind w:left="0" w:right="0"/>
        <w:jc w:val="left"/>
      </w:pPr>
      <w:r>
        <w:rPr>
          <w:rFonts w:hint="eastAsia" w:ascii="黑体" w:hAnsi="宋体" w:eastAsia="黑体" w:cs="黑体"/>
          <w:color w:val="333333"/>
          <w:kern w:val="0"/>
          <w:sz w:val="32"/>
          <w:szCs w:val="32"/>
          <w:lang w:val="en-US" w:eastAsia="zh-CN" w:bidi="ar"/>
        </w:rPr>
        <w:t> </w:t>
      </w:r>
    </w:p>
    <w:p>
      <w:pPr>
        <w:keepNext w:val="0"/>
        <w:keepLines w:val="0"/>
        <w:widowControl/>
        <w:numPr>
          <w:numId w:val="0"/>
        </w:numPr>
        <w:suppressLineNumbers w:val="0"/>
        <w:spacing w:beforeAutospacing="1" w:afterAutospacing="1" w:line="432" w:lineRule="atLeast"/>
        <w:ind w:left="0" w:right="0" w:firstLine="640" w:firstLineChars="200"/>
        <w:jc w:val="left"/>
      </w:pPr>
      <w:r>
        <w:rPr>
          <w:rFonts w:hint="eastAsia" w:ascii="黑体" w:hAnsi="宋体" w:eastAsia="黑体" w:cs="黑体"/>
          <w:color w:val="333333"/>
          <w:kern w:val="0"/>
          <w:sz w:val="32"/>
          <w:szCs w:val="32"/>
          <w:lang w:val="en-US" w:eastAsia="zh-CN" w:bidi="ar"/>
        </w:rPr>
        <w:t>四、政府信息公开行政复议、行政诉讼情况</w:t>
      </w:r>
    </w:p>
    <w:p>
      <w:pPr>
        <w:keepNext w:val="0"/>
        <w:keepLines w:val="0"/>
        <w:widowControl/>
        <w:suppressLineNumbers w:val="0"/>
        <w:spacing w:beforeAutospacing="1" w:afterAutospacing="1" w:line="300" w:lineRule="exact"/>
        <w:ind w:left="0" w:right="0"/>
        <w:jc w:val="left"/>
      </w:pPr>
      <w:r>
        <w:rPr>
          <w:rFonts w:hint="eastAsia" w:ascii="黑体" w:hAnsi="宋体" w:eastAsia="黑体" w:cs="黑体"/>
          <w:color w:val="333333"/>
          <w:kern w:val="0"/>
          <w:sz w:val="32"/>
          <w:szCs w:val="32"/>
          <w:lang w:val="en-US" w:eastAsia="zh-CN" w:bidi="ar"/>
        </w:rPr>
        <w:t> </w:t>
      </w:r>
    </w:p>
    <w:tbl>
      <w:tblPr>
        <w:tblW w:w="5189" w:type="pct"/>
        <w:jc w:val="center"/>
        <w:shd w:val="clear" w:color="auto" w:fill="FFFFFF"/>
        <w:tblLayout w:type="autofit"/>
        <w:tblCellMar>
          <w:top w:w="0" w:type="dxa"/>
          <w:left w:w="0" w:type="dxa"/>
          <w:bottom w:w="0" w:type="dxa"/>
          <w:right w:w="0" w:type="dxa"/>
        </w:tblCellMar>
      </w:tblPr>
      <w:tblGrid>
        <w:gridCol w:w="445"/>
        <w:gridCol w:w="480"/>
        <w:gridCol w:w="538"/>
        <w:gridCol w:w="493"/>
        <w:gridCol w:w="474"/>
        <w:gridCol w:w="449"/>
        <w:gridCol w:w="633"/>
        <w:gridCol w:w="633"/>
        <w:gridCol w:w="633"/>
        <w:gridCol w:w="653"/>
        <w:gridCol w:w="633"/>
        <w:gridCol w:w="633"/>
        <w:gridCol w:w="633"/>
        <w:gridCol w:w="633"/>
        <w:gridCol w:w="678"/>
      </w:tblGrid>
      <w:tr>
        <w:tblPrEx>
          <w:shd w:val="clear" w:color="auto" w:fill="FFFFFF"/>
          <w:tblCellMar>
            <w:top w:w="0" w:type="dxa"/>
            <w:left w:w="0" w:type="dxa"/>
            <w:bottom w:w="0" w:type="dxa"/>
            <w:right w:w="0" w:type="dxa"/>
          </w:tblCellMar>
        </w:tblPrEx>
        <w:trPr>
          <w:trHeight w:val="363" w:hRule="atLeast"/>
          <w:jc w:val="center"/>
        </w:trPr>
        <w:tc>
          <w:tcPr>
            <w:tcW w:w="1407" w:type="pct"/>
            <w:gridSpan w:val="5"/>
            <w:tcBorders>
              <w:top w:val="outset" w:color="000000" w:sz="8" w:space="0"/>
              <w:left w:val="outset" w:color="000000" w:sz="8"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行政复议</w:t>
            </w:r>
          </w:p>
        </w:tc>
        <w:tc>
          <w:tcPr>
            <w:tcW w:w="3592" w:type="pct"/>
            <w:gridSpan w:val="10"/>
            <w:tcBorders>
              <w:top w:val="outset" w:color="000000" w:sz="8"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行政诉讼</w:t>
            </w:r>
          </w:p>
        </w:tc>
      </w:tr>
      <w:tr>
        <w:tblPrEx>
          <w:tblCellMar>
            <w:top w:w="0" w:type="dxa"/>
            <w:left w:w="0" w:type="dxa"/>
            <w:bottom w:w="0" w:type="dxa"/>
            <w:right w:w="0" w:type="dxa"/>
          </w:tblCellMar>
        </w:tblPrEx>
        <w:trPr>
          <w:trHeight w:val="428" w:hRule="atLeast"/>
          <w:jc w:val="center"/>
        </w:trPr>
        <w:tc>
          <w:tcPr>
            <w:tcW w:w="258" w:type="pct"/>
            <w:vMerge w:val="restart"/>
            <w:tcBorders>
              <w:top w:val="single" w:color="auto" w:sz="2" w:space="0"/>
              <w:left w:val="outset" w:color="000000" w:sz="8"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结</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果</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维</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持</w:t>
            </w:r>
          </w:p>
        </w:tc>
        <w:tc>
          <w:tcPr>
            <w:tcW w:w="278" w:type="pct"/>
            <w:vMerge w:val="restart"/>
            <w:tcBorders>
              <w:top w:val="single" w:color="auto" w:sz="2"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结</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果</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纠</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正</w:t>
            </w:r>
          </w:p>
        </w:tc>
        <w:tc>
          <w:tcPr>
            <w:tcW w:w="312" w:type="pct"/>
            <w:vMerge w:val="restart"/>
            <w:tcBorders>
              <w:top w:val="outset" w:color="000000" w:sz="8"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其</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他</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结</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果</w:t>
            </w:r>
          </w:p>
        </w:tc>
        <w:tc>
          <w:tcPr>
            <w:tcW w:w="285" w:type="pct"/>
            <w:vMerge w:val="restart"/>
            <w:tcBorders>
              <w:top w:val="outset" w:color="000000" w:sz="8"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尚</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未</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审</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结</w:t>
            </w:r>
          </w:p>
        </w:tc>
        <w:tc>
          <w:tcPr>
            <w:tcW w:w="272" w:type="pct"/>
            <w:vMerge w:val="restart"/>
            <w:tcBorders>
              <w:top w:val="outset" w:color="000000" w:sz="8"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总</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计</w:t>
            </w:r>
          </w:p>
        </w:tc>
        <w:tc>
          <w:tcPr>
            <w:tcW w:w="1736" w:type="pct"/>
            <w:gridSpan w:val="5"/>
            <w:tcBorders>
              <w:top w:val="outset" w:color="000000" w:sz="8"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未经复议直接起诉</w:t>
            </w:r>
          </w:p>
        </w:tc>
        <w:tc>
          <w:tcPr>
            <w:tcW w:w="1855" w:type="pct"/>
            <w:gridSpan w:val="5"/>
            <w:tcBorders>
              <w:top w:val="outset" w:color="000000" w:sz="8"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复议后起诉</w:t>
            </w:r>
          </w:p>
        </w:tc>
      </w:tr>
      <w:tr>
        <w:tblPrEx>
          <w:tblCellMar>
            <w:top w:w="0" w:type="dxa"/>
            <w:left w:w="0" w:type="dxa"/>
            <w:bottom w:w="0" w:type="dxa"/>
            <w:right w:w="0" w:type="dxa"/>
          </w:tblCellMar>
        </w:tblPrEx>
        <w:trPr>
          <w:trHeight w:val="717" w:hRule="atLeast"/>
          <w:jc w:val="center"/>
        </w:trPr>
        <w:tc>
          <w:tcPr>
            <w:tcW w:w="258" w:type="pct"/>
            <w:vMerge w:val="continue"/>
            <w:tcBorders>
              <w:top w:val="single" w:color="auto" w:sz="2" w:space="0"/>
              <w:left w:val="outset" w:color="000000" w:sz="8" w:space="0"/>
              <w:bottom w:val="outset" w:color="000000" w:sz="8" w:space="0"/>
              <w:right w:val="outset" w:color="000000" w:sz="8" w:space="0"/>
            </w:tcBorders>
            <w:shd w:val="clear" w:color="auto" w:fill="FFFFFF"/>
            <w:vAlign w:val="center"/>
          </w:tcPr>
          <w:p>
            <w:pPr>
              <w:rPr>
                <w:rFonts w:hint="eastAsia" w:ascii="宋体" w:hAnsi="宋体" w:eastAsia="宋体" w:cs="宋体"/>
                <w:sz w:val="24"/>
                <w:szCs w:val="24"/>
              </w:rPr>
            </w:pPr>
          </w:p>
        </w:tc>
        <w:tc>
          <w:tcPr>
            <w:tcW w:w="278" w:type="pct"/>
            <w:vMerge w:val="continue"/>
            <w:tcBorders>
              <w:top w:val="single" w:color="auto" w:sz="2" w:space="0"/>
              <w:left w:val="single" w:color="auto" w:sz="2" w:space="0"/>
              <w:bottom w:val="outset" w:color="000000" w:sz="8" w:space="0"/>
              <w:right w:val="outset" w:color="000000" w:sz="8" w:space="0"/>
            </w:tcBorders>
            <w:shd w:val="clear" w:color="auto" w:fill="FFFFFF"/>
            <w:vAlign w:val="center"/>
          </w:tcPr>
          <w:p>
            <w:pPr>
              <w:rPr>
                <w:rFonts w:hint="eastAsia" w:ascii="宋体" w:hAnsi="宋体" w:eastAsia="宋体" w:cs="宋体"/>
                <w:sz w:val="24"/>
                <w:szCs w:val="24"/>
              </w:rPr>
            </w:pPr>
          </w:p>
        </w:tc>
        <w:tc>
          <w:tcPr>
            <w:tcW w:w="312" w:type="pct"/>
            <w:vMerge w:val="continue"/>
            <w:tcBorders>
              <w:top w:val="outset" w:color="000000" w:sz="8" w:space="0"/>
              <w:left w:val="single" w:color="auto" w:sz="2" w:space="0"/>
              <w:bottom w:val="outset" w:color="000000" w:sz="8" w:space="0"/>
              <w:right w:val="outset" w:color="000000" w:sz="8" w:space="0"/>
            </w:tcBorders>
            <w:shd w:val="clear" w:color="auto" w:fill="FFFFFF"/>
            <w:vAlign w:val="center"/>
          </w:tcPr>
          <w:p>
            <w:pPr>
              <w:rPr>
                <w:rFonts w:hint="eastAsia" w:ascii="宋体" w:hAnsi="宋体" w:eastAsia="宋体" w:cs="宋体"/>
                <w:sz w:val="24"/>
                <w:szCs w:val="24"/>
              </w:rPr>
            </w:pPr>
          </w:p>
        </w:tc>
        <w:tc>
          <w:tcPr>
            <w:tcW w:w="285" w:type="pct"/>
            <w:vMerge w:val="continue"/>
            <w:tcBorders>
              <w:top w:val="outset" w:color="000000" w:sz="8" w:space="0"/>
              <w:left w:val="single" w:color="auto" w:sz="2" w:space="0"/>
              <w:bottom w:val="outset" w:color="000000" w:sz="8" w:space="0"/>
              <w:right w:val="outset" w:color="000000" w:sz="8" w:space="0"/>
            </w:tcBorders>
            <w:shd w:val="clear" w:color="auto" w:fill="FFFFFF"/>
            <w:vAlign w:val="center"/>
          </w:tcPr>
          <w:p>
            <w:pPr>
              <w:rPr>
                <w:rFonts w:hint="eastAsia" w:ascii="宋体" w:hAnsi="宋体" w:eastAsia="宋体" w:cs="宋体"/>
                <w:sz w:val="24"/>
                <w:szCs w:val="24"/>
              </w:rPr>
            </w:pPr>
          </w:p>
        </w:tc>
        <w:tc>
          <w:tcPr>
            <w:tcW w:w="272" w:type="pct"/>
            <w:vMerge w:val="continue"/>
            <w:tcBorders>
              <w:top w:val="outset" w:color="000000" w:sz="8" w:space="0"/>
              <w:left w:val="single" w:color="auto" w:sz="2" w:space="0"/>
              <w:bottom w:val="outset" w:color="000000" w:sz="8" w:space="0"/>
              <w:right w:val="outset" w:color="000000" w:sz="8" w:space="0"/>
            </w:tcBorders>
            <w:shd w:val="clear" w:color="auto" w:fill="FFFFFF"/>
            <w:vAlign w:val="center"/>
          </w:tcPr>
          <w:p>
            <w:pPr>
              <w:rPr>
                <w:rFonts w:hint="eastAsia" w:ascii="宋体" w:hAnsi="宋体" w:eastAsia="宋体" w:cs="宋体"/>
                <w:sz w:val="24"/>
                <w:szCs w:val="24"/>
              </w:rPr>
            </w:pPr>
          </w:p>
        </w:tc>
        <w:tc>
          <w:tcPr>
            <w:tcW w:w="260" w:type="pct"/>
            <w:tcBorders>
              <w:top w:val="single" w:color="auto" w:sz="2"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结</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果</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维</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持</w:t>
            </w:r>
          </w:p>
        </w:tc>
        <w:tc>
          <w:tcPr>
            <w:tcW w:w="366" w:type="pct"/>
            <w:tcBorders>
              <w:top w:val="single" w:color="auto" w:sz="2"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结</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果</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纠</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正</w:t>
            </w:r>
          </w:p>
        </w:tc>
        <w:tc>
          <w:tcPr>
            <w:tcW w:w="366" w:type="pct"/>
            <w:tcBorders>
              <w:top w:val="outset" w:color="000000" w:sz="8"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其</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他</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结</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果</w:t>
            </w:r>
          </w:p>
        </w:tc>
        <w:tc>
          <w:tcPr>
            <w:tcW w:w="366" w:type="pct"/>
            <w:tcBorders>
              <w:top w:val="outset" w:color="000000" w:sz="8"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尚</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未</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审</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结</w:t>
            </w:r>
          </w:p>
        </w:tc>
        <w:tc>
          <w:tcPr>
            <w:tcW w:w="377" w:type="pct"/>
            <w:tcBorders>
              <w:top w:val="outset" w:color="000000" w:sz="8"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总</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计</w:t>
            </w:r>
          </w:p>
        </w:tc>
        <w:tc>
          <w:tcPr>
            <w:tcW w:w="366" w:type="pct"/>
            <w:tcBorders>
              <w:top w:val="outset" w:color="000000" w:sz="8"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结</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果</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维</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持</w:t>
            </w:r>
          </w:p>
        </w:tc>
        <w:tc>
          <w:tcPr>
            <w:tcW w:w="366" w:type="pct"/>
            <w:tcBorders>
              <w:top w:val="outset" w:color="000000" w:sz="8"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结</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果</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纠</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正</w:t>
            </w:r>
          </w:p>
        </w:tc>
        <w:tc>
          <w:tcPr>
            <w:tcW w:w="366" w:type="pct"/>
            <w:tcBorders>
              <w:top w:val="outset" w:color="000000" w:sz="8"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其</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他</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结</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果</w:t>
            </w:r>
          </w:p>
        </w:tc>
        <w:tc>
          <w:tcPr>
            <w:tcW w:w="366" w:type="pct"/>
            <w:tcBorders>
              <w:top w:val="outset" w:color="000000" w:sz="8"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尚</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未</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审</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结</w:t>
            </w:r>
          </w:p>
        </w:tc>
        <w:tc>
          <w:tcPr>
            <w:tcW w:w="389" w:type="pct"/>
            <w:tcBorders>
              <w:top w:val="outset" w:color="000000" w:sz="8"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总</w:t>
            </w:r>
          </w:p>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计</w:t>
            </w:r>
          </w:p>
        </w:tc>
      </w:tr>
      <w:tr>
        <w:tblPrEx>
          <w:tblCellMar>
            <w:top w:w="0" w:type="dxa"/>
            <w:left w:w="0" w:type="dxa"/>
            <w:bottom w:w="0" w:type="dxa"/>
            <w:right w:w="0" w:type="dxa"/>
          </w:tblCellMar>
        </w:tblPrEx>
        <w:trPr>
          <w:trHeight w:val="783" w:hRule="atLeast"/>
          <w:jc w:val="center"/>
        </w:trPr>
        <w:tc>
          <w:tcPr>
            <w:tcW w:w="258" w:type="pct"/>
            <w:tcBorders>
              <w:top w:val="single" w:color="auto" w:sz="2" w:space="0"/>
              <w:left w:val="outset" w:color="000000" w:sz="8"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278" w:type="pct"/>
            <w:tcBorders>
              <w:top w:val="single" w:color="auto" w:sz="2"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312" w:type="pct"/>
            <w:tcBorders>
              <w:top w:val="single" w:color="auto" w:sz="2"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285" w:type="pct"/>
            <w:tcBorders>
              <w:top w:val="single" w:color="auto" w:sz="2"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272" w:type="pct"/>
            <w:tcBorders>
              <w:top w:val="single" w:color="auto" w:sz="2"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260" w:type="pct"/>
            <w:tcBorders>
              <w:top w:val="single" w:color="auto" w:sz="2"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366" w:type="pct"/>
            <w:tcBorders>
              <w:top w:val="single" w:color="auto" w:sz="2"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366" w:type="pct"/>
            <w:tcBorders>
              <w:top w:val="single" w:color="auto" w:sz="2"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366" w:type="pct"/>
            <w:tcBorders>
              <w:top w:val="single" w:color="auto" w:sz="2"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377" w:type="pct"/>
            <w:tcBorders>
              <w:top w:val="single" w:color="auto" w:sz="2"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366" w:type="pct"/>
            <w:tcBorders>
              <w:top w:val="single" w:color="auto" w:sz="2"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366" w:type="pct"/>
            <w:tcBorders>
              <w:top w:val="single" w:color="auto" w:sz="2"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366" w:type="pct"/>
            <w:tcBorders>
              <w:top w:val="single" w:color="auto" w:sz="2"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366" w:type="pct"/>
            <w:tcBorders>
              <w:top w:val="single" w:color="auto" w:sz="2"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c>
          <w:tcPr>
            <w:tcW w:w="389" w:type="pct"/>
            <w:tcBorders>
              <w:top w:val="single" w:color="auto" w:sz="2" w:space="0"/>
              <w:left w:val="single" w:color="auto" w:sz="2" w:space="0"/>
              <w:bottom w:val="outset" w:color="000000" w:sz="8" w:space="0"/>
              <w:right w:val="outset" w:color="000000" w:sz="8" w:space="0"/>
            </w:tcBorders>
            <w:shd w:val="clear" w:color="auto" w:fill="FFFFFF"/>
            <w:vAlign w:val="center"/>
          </w:tcPr>
          <w:p>
            <w:pPr>
              <w:keepNext w:val="0"/>
              <w:keepLines w:val="0"/>
              <w:widowControl/>
              <w:suppressLineNumbers w:val="0"/>
              <w:spacing w:beforeAutospacing="1" w:afterAutospacing="1"/>
              <w:ind w:left="0" w:right="0"/>
              <w:jc w:val="center"/>
            </w:pPr>
            <w:r>
              <w:rPr>
                <w:rFonts w:hint="eastAsia" w:ascii="仿宋_GB2312" w:hAnsi="仿宋_GB2312" w:eastAsia="仿宋_GB2312" w:cs="仿宋_GB2312"/>
                <w:color w:val="333333"/>
                <w:kern w:val="0"/>
                <w:sz w:val="24"/>
                <w:szCs w:val="24"/>
                <w:bdr w:val="none" w:color="auto" w:sz="0" w:space="0"/>
                <w:lang w:val="en-US" w:eastAsia="zh-CN" w:bidi="ar"/>
              </w:rPr>
              <w:t>0</w:t>
            </w:r>
          </w:p>
        </w:tc>
      </w:tr>
    </w:tbl>
    <w:p>
      <w:pPr>
        <w:keepNext w:val="0"/>
        <w:keepLines w:val="0"/>
        <w:widowControl/>
        <w:suppressLineNumbers w:val="0"/>
        <w:spacing w:beforeAutospacing="1" w:afterAutospacing="1" w:line="300" w:lineRule="exact"/>
        <w:ind w:left="0" w:right="0"/>
        <w:jc w:val="left"/>
      </w:pPr>
      <w:r>
        <w:rPr>
          <w:rFonts w:hint="eastAsia" w:ascii="黑体" w:hAnsi="宋体" w:eastAsia="黑体" w:cs="黑体"/>
          <w:color w:val="333333"/>
          <w:kern w:val="0"/>
          <w:sz w:val="32"/>
          <w:szCs w:val="32"/>
          <w:lang w:val="en-US" w:eastAsia="zh-CN" w:bidi="ar"/>
        </w:rPr>
        <w:t> </w:t>
      </w:r>
    </w:p>
    <w:p>
      <w:pPr>
        <w:keepNext w:val="0"/>
        <w:keepLines w:val="0"/>
        <w:widowControl/>
        <w:numPr>
          <w:numId w:val="0"/>
        </w:numPr>
        <w:suppressLineNumbers w:val="0"/>
        <w:spacing w:beforeAutospacing="1" w:afterAutospacing="1" w:line="432" w:lineRule="atLeast"/>
        <w:ind w:left="0" w:right="0" w:firstLine="640" w:firstLineChars="200"/>
        <w:jc w:val="left"/>
      </w:pPr>
      <w:r>
        <w:rPr>
          <w:rFonts w:hint="eastAsia" w:ascii="黑体" w:hAnsi="宋体" w:eastAsia="黑体" w:cs="黑体"/>
          <w:color w:val="333333"/>
          <w:kern w:val="0"/>
          <w:sz w:val="32"/>
          <w:szCs w:val="32"/>
          <w:lang w:val="en-US" w:eastAsia="zh-CN" w:bidi="ar"/>
        </w:rPr>
        <w:t>五、</w:t>
      </w:r>
      <w:r>
        <w:rPr>
          <w:rFonts w:hint="eastAsia" w:ascii="黑体" w:hAnsi="宋体" w:eastAsia="黑体" w:cs="黑体"/>
          <w:b/>
          <w:bCs/>
          <w:color w:val="333333"/>
          <w:kern w:val="0"/>
          <w:sz w:val="32"/>
          <w:szCs w:val="32"/>
          <w:lang w:val="en-US" w:eastAsia="zh-CN" w:bidi="ar"/>
        </w:rPr>
        <w:t>存在的主要问题及改进情况</w:t>
      </w:r>
    </w:p>
    <w:p>
      <w:pPr>
        <w:keepNext w:val="0"/>
        <w:keepLines w:val="0"/>
        <w:widowControl/>
        <w:suppressLineNumbers w:val="0"/>
        <w:adjustRightInd w:val="0"/>
        <w:spacing w:beforeAutospacing="1" w:afterAutospacing="1"/>
        <w:ind w:left="0" w:right="0" w:firstLine="643" w:firstLineChars="200"/>
        <w:jc w:val="left"/>
      </w:pPr>
      <w:r>
        <w:rPr>
          <w:rFonts w:hint="eastAsia" w:ascii="楷体_GB2312" w:hAnsi="楷体_GB2312" w:eastAsia="楷体_GB2312" w:cs="楷体_GB2312"/>
          <w:b/>
          <w:bCs/>
          <w:kern w:val="0"/>
          <w:sz w:val="32"/>
          <w:szCs w:val="32"/>
          <w:lang w:val="en-US" w:eastAsia="zh-CN" w:bidi="ar"/>
        </w:rPr>
        <w:t>（一）工作中存在的主要问题和困难</w:t>
      </w:r>
    </w:p>
    <w:p>
      <w:pPr>
        <w:keepNext w:val="0"/>
        <w:keepLines w:val="0"/>
        <w:widowControl/>
        <w:suppressLineNumbers w:val="0"/>
        <w:adjustRightInd w:val="0"/>
        <w:spacing w:beforeAutospacing="1" w:afterAutospacing="1"/>
        <w:ind w:left="0" w:right="0" w:firstLine="640" w:firstLineChars="200"/>
        <w:jc w:val="left"/>
      </w:pPr>
      <w:r>
        <w:rPr>
          <w:rFonts w:hint="eastAsia" w:ascii="仿宋_GB2312" w:hAnsi="仿宋_GB2312" w:eastAsia="仿宋_GB2312" w:cs="仿宋_GB2312"/>
          <w:kern w:val="0"/>
          <w:sz w:val="32"/>
          <w:szCs w:val="32"/>
          <w:lang w:val="en-US" w:eastAsia="zh-CN" w:bidi="ar"/>
        </w:rPr>
        <w:t>1.主动公开的意识不够强，重视程度不够。公开内容也比较单一，主要以通知公告和工作动态为准。在其他类别上公开的内容不够宽泛。</w:t>
      </w:r>
    </w:p>
    <w:p>
      <w:pPr>
        <w:keepNext w:val="0"/>
        <w:keepLines w:val="0"/>
        <w:widowControl/>
        <w:suppressLineNumbers w:val="0"/>
        <w:adjustRightInd w:val="0"/>
        <w:spacing w:beforeAutospacing="1" w:afterAutospacing="1"/>
        <w:ind w:left="0" w:right="0" w:firstLine="640" w:firstLineChars="200"/>
        <w:jc w:val="left"/>
      </w:pPr>
      <w:r>
        <w:rPr>
          <w:rFonts w:hint="eastAsia" w:ascii="仿宋_GB2312" w:hAnsi="仿宋_GB2312" w:eastAsia="仿宋_GB2312" w:cs="仿宋_GB2312"/>
          <w:kern w:val="0"/>
          <w:sz w:val="32"/>
          <w:szCs w:val="32"/>
          <w:lang w:val="en-US" w:eastAsia="zh-CN" w:bidi="ar"/>
        </w:rPr>
        <w:t>2.对《条例》以及上级部署决策政策的解读频次和学习深度不够，学的不够透彻，针对疫情对经济社会发展的影响主动回应不够等，对许多要求还需做进一步解读。</w:t>
      </w:r>
    </w:p>
    <w:p>
      <w:pPr>
        <w:keepNext w:val="0"/>
        <w:keepLines w:val="0"/>
        <w:widowControl/>
        <w:suppressLineNumbers w:val="0"/>
        <w:adjustRightInd w:val="0"/>
        <w:spacing w:beforeAutospacing="1" w:afterAutospacing="1"/>
        <w:ind w:left="0" w:right="0" w:firstLine="640" w:firstLineChars="200"/>
        <w:jc w:val="left"/>
      </w:pPr>
      <w:r>
        <w:rPr>
          <w:rFonts w:hint="eastAsia" w:ascii="仿宋_GB2312" w:hAnsi="仿宋_GB2312" w:eastAsia="仿宋_GB2312" w:cs="仿宋_GB2312"/>
          <w:kern w:val="0"/>
          <w:sz w:val="32"/>
          <w:szCs w:val="32"/>
          <w:lang w:val="en-US" w:eastAsia="zh-CN" w:bidi="ar"/>
        </w:rPr>
        <w:t>3.因基层任务重，工作人员变动较频繁，导致公开连续性不强，更新不够及时。</w:t>
      </w:r>
    </w:p>
    <w:p>
      <w:pPr>
        <w:keepNext w:val="0"/>
        <w:keepLines w:val="0"/>
        <w:widowControl/>
        <w:suppressLineNumbers w:val="0"/>
        <w:adjustRightInd w:val="0"/>
        <w:spacing w:beforeAutospacing="1" w:afterAutospacing="1"/>
        <w:ind w:left="0" w:right="0" w:firstLine="643" w:firstLineChars="200"/>
        <w:jc w:val="left"/>
      </w:pPr>
      <w:r>
        <w:rPr>
          <w:rFonts w:hint="eastAsia" w:ascii="楷体_GB2312" w:hAnsi="楷体_GB2312" w:eastAsia="楷体_GB2312" w:cs="楷体_GB2312"/>
          <w:b/>
          <w:bCs/>
          <w:kern w:val="0"/>
          <w:sz w:val="32"/>
          <w:szCs w:val="32"/>
          <w:lang w:val="en-US" w:eastAsia="zh-CN" w:bidi="ar"/>
        </w:rPr>
        <w:t>（二）具体解决办法和改进措施</w:t>
      </w:r>
    </w:p>
    <w:p>
      <w:pPr>
        <w:keepNext w:val="0"/>
        <w:keepLines w:val="0"/>
        <w:widowControl/>
        <w:suppressLineNumbers w:val="0"/>
        <w:adjustRightInd w:val="0"/>
        <w:spacing w:beforeAutospacing="1" w:afterAutospacing="1"/>
        <w:ind w:left="0" w:right="0" w:firstLine="640" w:firstLineChars="200"/>
        <w:jc w:val="left"/>
      </w:pPr>
      <w:r>
        <w:rPr>
          <w:rFonts w:hint="eastAsia" w:ascii="仿宋_GB2312" w:hAnsi="仿宋_GB2312" w:eastAsia="仿宋_GB2312" w:cs="仿宋_GB2312"/>
          <w:kern w:val="0"/>
          <w:sz w:val="32"/>
          <w:szCs w:val="32"/>
          <w:lang w:val="en-US" w:eastAsia="zh-CN" w:bidi="ar"/>
        </w:rPr>
        <w:t>1.突出重点，体现特色，将群众广泛关注、涉及老百姓切身利益的重点领域全过程公开，最大限度公开政府信息。不断丰富公开的方式和内容，加大公开力度，拓宽公开统计工作动态。</w:t>
      </w:r>
    </w:p>
    <w:p>
      <w:pPr>
        <w:keepNext w:val="0"/>
        <w:keepLines w:val="0"/>
        <w:widowControl/>
        <w:suppressLineNumbers w:val="0"/>
        <w:adjustRightInd w:val="0"/>
        <w:spacing w:beforeAutospacing="1" w:afterAutospacing="1"/>
        <w:ind w:left="0" w:right="0" w:firstLine="640" w:firstLineChars="200"/>
        <w:jc w:val="left"/>
      </w:pPr>
      <w:r>
        <w:rPr>
          <w:rFonts w:hint="eastAsia" w:ascii="仿宋_GB2312" w:hAnsi="仿宋_GB2312" w:eastAsia="仿宋_GB2312" w:cs="仿宋_GB2312"/>
          <w:kern w:val="0"/>
          <w:sz w:val="32"/>
          <w:szCs w:val="32"/>
          <w:lang w:val="en-US" w:eastAsia="zh-CN" w:bidi="ar"/>
        </w:rPr>
        <w:t>2.深入学习贯彻《条例》精神，严格按照条例内容要求完善政府信息公开工作制度和机制，进一步提升全镇政务公开工作水平，拓展信息公开的深度和广度，提高政府信息质量。</w:t>
      </w:r>
    </w:p>
    <w:p>
      <w:pPr>
        <w:keepNext w:val="0"/>
        <w:keepLines w:val="0"/>
        <w:widowControl/>
        <w:suppressLineNumbers w:val="0"/>
        <w:adjustRightInd w:val="0"/>
        <w:spacing w:beforeAutospacing="1" w:afterAutospacing="1"/>
        <w:ind w:left="0" w:right="0" w:firstLine="640" w:firstLineChars="200"/>
        <w:jc w:val="left"/>
      </w:pPr>
      <w:r>
        <w:rPr>
          <w:rFonts w:hint="eastAsia" w:ascii="仿宋_GB2312" w:hAnsi="仿宋_GB2312" w:eastAsia="仿宋_GB2312" w:cs="仿宋_GB2312"/>
          <w:kern w:val="0"/>
          <w:sz w:val="32"/>
          <w:szCs w:val="32"/>
          <w:lang w:val="en-US" w:eastAsia="zh-CN" w:bidi="ar"/>
        </w:rPr>
        <w:t>3.进一步完善信息公开工作长效机制，加强信息发布、解读和回应工作，增强政府信息公开实效。</w:t>
      </w:r>
    </w:p>
    <w:p>
      <w:pPr>
        <w:keepNext w:val="0"/>
        <w:keepLines w:val="0"/>
        <w:widowControl/>
        <w:suppressLineNumbers w:val="0"/>
        <w:spacing w:beforeAutospacing="1" w:afterAutospacing="1" w:line="300" w:lineRule="exact"/>
        <w:ind w:left="0" w:right="0"/>
        <w:jc w:val="left"/>
      </w:pPr>
      <w:r>
        <w:rPr>
          <w:rFonts w:hint="eastAsia" w:ascii="黑体" w:hAnsi="宋体" w:eastAsia="黑体" w:cs="黑体"/>
          <w:color w:val="333333"/>
          <w:kern w:val="0"/>
          <w:sz w:val="32"/>
          <w:szCs w:val="32"/>
          <w:lang w:val="en-US" w:eastAsia="zh-CN" w:bidi="ar"/>
        </w:rPr>
        <w:t> </w:t>
      </w:r>
    </w:p>
    <w:p>
      <w:pPr>
        <w:keepNext w:val="0"/>
        <w:keepLines w:val="0"/>
        <w:widowControl/>
        <w:suppressLineNumbers w:val="0"/>
        <w:adjustRightInd w:val="0"/>
        <w:spacing w:beforeAutospacing="1" w:afterAutospacing="1"/>
        <w:ind w:left="0" w:right="0" w:firstLine="640" w:firstLineChars="200"/>
        <w:jc w:val="left"/>
      </w:pPr>
      <w:r>
        <w:rPr>
          <w:rFonts w:hint="eastAsia" w:ascii="黑体" w:hAnsi="宋体" w:eastAsia="黑体" w:cs="黑体"/>
          <w:kern w:val="0"/>
          <w:sz w:val="32"/>
          <w:szCs w:val="32"/>
          <w:shd w:val="clear" w:fill="FFFFFF"/>
          <w:lang w:val="en-US" w:eastAsia="zh-CN" w:bidi="ar"/>
        </w:rPr>
        <w:t>六、其他需要报告的事项：无</w:t>
      </w:r>
    </w:p>
    <w:p>
      <w:pPr>
        <w:keepNext w:val="0"/>
        <w:keepLines w:val="0"/>
        <w:widowControl/>
        <w:suppressLineNumbers w:val="0"/>
        <w:spacing w:beforeAutospacing="1" w:after="240" w:afterAutospacing="0" w:line="432" w:lineRule="atLeast"/>
        <w:ind w:left="0" w:right="0"/>
        <w:jc w:val="left"/>
      </w:pPr>
      <w:r>
        <w:rPr>
          <w:rFonts w:hint="eastAsia" w:ascii="宋体" w:hAnsi="宋体" w:eastAsia="宋体" w:cs="Helvetica"/>
          <w:b/>
          <w:bCs/>
          <w:color w:val="333333"/>
          <w:kern w:val="0"/>
          <w:sz w:val="23"/>
          <w:szCs w:val="23"/>
          <w:lang w:val="en-US" w:eastAsia="zh-CN" w:bidi="ar"/>
        </w:rPr>
        <w:t>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612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2021-04-20T02:32:40Z</dcterms:created>
  <dc:creator>Administrator</dc:creator>
  <cp:lastModifiedBy>ln</cp:lastModifiedBy>
  <dcterms:modified xsi:type="dcterms:W3CDTF">2021-04-20T02:32:52Z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CAFCE1AAD7904EE19BF66C966EDA9384</vt:lpwstr>
  </property>
</Properties>
</file>